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71596F">
      <w:pPr>
        <w:keepNext w:val="0"/>
        <w:keepLines w:val="0"/>
        <w:pageBreakBefore w:val="0"/>
        <w:widowControl w:val="0"/>
        <w:kinsoku/>
        <w:wordWrap/>
        <w:overflowPunct/>
        <w:topLinePunct w:val="0"/>
        <w:autoSpaceDE/>
        <w:autoSpaceDN/>
        <w:bidi w:val="0"/>
        <w:adjustRightInd/>
        <w:snapToGrid/>
        <w:spacing w:beforeAutospacing="0" w:afterAutospacing="0" w:line="120" w:lineRule="auto"/>
        <w:ind w:left="0" w:leftChars="0" w:right="0" w:rightChars="0" w:firstLine="0" w:firstLineChars="0"/>
        <w:jc w:val="center"/>
        <w:textAlignment w:val="auto"/>
        <w:rPr>
          <w:rFonts w:hint="eastAsia" w:ascii="Times New Roman" w:eastAsia="黑体"/>
          <w:b/>
          <w:sz w:val="36"/>
          <w:szCs w:val="32"/>
          <w:lang w:val="en-US" w:eastAsia="zh-CN"/>
        </w:rPr>
      </w:pPr>
    </w:p>
    <w:p w14:paraId="047E6E09">
      <w:pPr>
        <w:keepNext w:val="0"/>
        <w:keepLines w:val="0"/>
        <w:pageBreakBefore w:val="0"/>
        <w:widowControl w:val="0"/>
        <w:kinsoku/>
        <w:wordWrap/>
        <w:overflowPunct/>
        <w:topLinePunct w:val="0"/>
        <w:autoSpaceDE/>
        <w:autoSpaceDN/>
        <w:bidi w:val="0"/>
        <w:adjustRightInd/>
        <w:snapToGrid/>
        <w:spacing w:beforeAutospacing="0" w:afterAutospacing="0" w:line="120" w:lineRule="auto"/>
        <w:ind w:left="0" w:leftChars="0" w:right="0" w:rightChars="0" w:firstLine="0" w:firstLineChars="0"/>
        <w:jc w:val="center"/>
        <w:textAlignment w:val="auto"/>
        <w:outlineLvl w:val="9"/>
        <w:rPr>
          <w:rFonts w:hint="eastAsia" w:ascii="Times New Roman" w:eastAsia="黑体"/>
          <w:b/>
          <w:sz w:val="36"/>
          <w:szCs w:val="32"/>
          <w:lang w:val="en-US" w:eastAsia="zh-CN"/>
        </w:rPr>
      </w:pPr>
      <w:r>
        <w:rPr>
          <w:rFonts w:hint="eastAsia" w:ascii="Times New Roman" w:eastAsia="黑体"/>
          <w:b/>
          <w:sz w:val="36"/>
          <w:szCs w:val="32"/>
          <w:lang w:val="en-US" w:eastAsia="zh-CN"/>
        </w:rPr>
        <w:t>福建碳中和项目碳汇量测算工具使用说明</w:t>
      </w:r>
    </w:p>
    <w:p w14:paraId="7908DAE9">
      <w:pPr>
        <w:keepNext w:val="0"/>
        <w:keepLines w:val="0"/>
        <w:pageBreakBefore w:val="0"/>
        <w:widowControl w:val="0"/>
        <w:kinsoku/>
        <w:wordWrap/>
        <w:overflowPunct/>
        <w:topLinePunct w:val="0"/>
        <w:autoSpaceDE/>
        <w:autoSpaceDN/>
        <w:bidi w:val="0"/>
        <w:adjustRightInd/>
        <w:snapToGrid/>
        <w:spacing w:beforeAutospacing="0" w:afterAutospacing="0" w:line="120" w:lineRule="auto"/>
        <w:ind w:left="0" w:leftChars="0" w:right="0" w:rightChars="0" w:firstLine="0" w:firstLineChars="0"/>
        <w:jc w:val="center"/>
        <w:textAlignment w:val="auto"/>
        <w:outlineLvl w:val="0"/>
        <w:rPr>
          <w:rFonts w:hint="eastAsia" w:ascii="Times New Roman" w:eastAsia="黑体"/>
          <w:b/>
          <w:sz w:val="36"/>
          <w:szCs w:val="32"/>
          <w:lang w:val="en-US" w:eastAsia="zh-CN"/>
        </w:rPr>
      </w:pPr>
    </w:p>
    <w:p w14:paraId="18E23693">
      <w:pPr>
        <w:keepNext w:val="0"/>
        <w:keepLines w:val="0"/>
        <w:pageBreakBefore w:val="0"/>
        <w:widowControl w:val="0"/>
        <w:kinsoku/>
        <w:wordWrap/>
        <w:overflowPunct/>
        <w:topLinePunct w:val="0"/>
        <w:autoSpaceDE/>
        <w:autoSpaceDN/>
        <w:bidi w:val="0"/>
        <w:adjustRightInd/>
        <w:snapToGrid/>
        <w:spacing w:beforeAutospacing="0" w:afterAutospacing="0" w:line="120" w:lineRule="auto"/>
        <w:ind w:left="0" w:leftChars="0" w:right="0" w:rightChars="0" w:firstLine="0" w:firstLineChars="0"/>
        <w:jc w:val="center"/>
        <w:textAlignment w:val="auto"/>
        <w:outlineLvl w:val="0"/>
        <w:rPr>
          <w:rFonts w:hint="eastAsia" w:ascii="Times New Roman" w:eastAsia="黑体"/>
          <w:b/>
          <w:sz w:val="36"/>
          <w:szCs w:val="32"/>
          <w:lang w:val="en-US" w:eastAsia="zh-CN"/>
        </w:rPr>
      </w:pPr>
    </w:p>
    <w:sdt>
      <w:sdtPr>
        <w:rPr>
          <w:rFonts w:ascii="宋体" w:hAnsi="宋体" w:eastAsia="宋体" w:cstheme="minorBidi"/>
          <w:kern w:val="2"/>
          <w:sz w:val="21"/>
          <w:szCs w:val="24"/>
          <w:lang w:val="en-US" w:eastAsia="zh-CN" w:bidi="ar-SA"/>
        </w:rPr>
        <w:id w:val="147474492"/>
        <w15:color w:val="DBDBDB"/>
        <w:docPartObj>
          <w:docPartGallery w:val="Table of Contents"/>
          <w:docPartUnique/>
        </w:docPartObj>
      </w:sdtPr>
      <w:sdtEndPr>
        <w:rPr>
          <w:rFonts w:hint="eastAsia" w:asciiTheme="minorHAnsi" w:hAnsiTheme="minorHAnsi" w:eastAsiaTheme="minorEastAsia" w:cstheme="minorBidi"/>
          <w:b/>
          <w:kern w:val="2"/>
          <w:sz w:val="21"/>
          <w:szCs w:val="24"/>
          <w:lang w:val="en-US" w:eastAsia="zh-CN" w:bidi="ar-SA"/>
        </w:rPr>
      </w:sdtEndPr>
      <w:sdtContent>
        <w:p w14:paraId="02FA95AA">
          <w:pPr>
            <w:spacing w:before="0" w:beforeLines="0" w:after="0" w:afterLines="0" w:line="240" w:lineRule="auto"/>
            <w:ind w:left="0" w:leftChars="0" w:right="0" w:rightChars="0" w:firstLine="0" w:firstLineChars="0"/>
            <w:jc w:val="center"/>
            <w:rPr>
              <w:rFonts w:ascii="宋体" w:hAnsi="宋体" w:eastAsia="宋体" w:cstheme="minorBidi"/>
              <w:kern w:val="2"/>
              <w:sz w:val="21"/>
              <w:szCs w:val="24"/>
              <w:lang w:val="en-US" w:eastAsia="zh-CN" w:bidi="ar-SA"/>
            </w:rPr>
          </w:pPr>
        </w:p>
        <w:p w14:paraId="097FB0CD">
          <w:pPr>
            <w:spacing w:before="0" w:beforeLines="0" w:after="0" w:afterLines="0" w:line="240" w:lineRule="auto"/>
            <w:ind w:left="0" w:leftChars="0" w:right="0" w:rightChars="0" w:firstLine="0" w:firstLineChars="0"/>
            <w:jc w:val="center"/>
            <w:rPr>
              <w:rFonts w:ascii="宋体" w:hAnsi="宋体" w:eastAsia="宋体"/>
              <w:b/>
              <w:bCs/>
              <w:sz w:val="48"/>
              <w:szCs w:val="48"/>
            </w:rPr>
          </w:pPr>
          <w:r>
            <w:rPr>
              <w:rFonts w:ascii="宋体" w:hAnsi="宋体" w:eastAsia="宋体"/>
              <w:b/>
              <w:bCs/>
              <w:sz w:val="48"/>
              <w:szCs w:val="48"/>
            </w:rPr>
            <w:t>目</w:t>
          </w:r>
          <w:r>
            <w:rPr>
              <w:rFonts w:hint="eastAsia" w:ascii="宋体" w:hAnsi="宋体" w:eastAsia="宋体"/>
              <w:b/>
              <w:bCs/>
              <w:sz w:val="48"/>
              <w:szCs w:val="48"/>
              <w:lang w:val="en-US" w:eastAsia="zh-CN"/>
            </w:rPr>
            <w:t xml:space="preserve">   </w:t>
          </w:r>
          <w:r>
            <w:rPr>
              <w:rFonts w:ascii="宋体" w:hAnsi="宋体" w:eastAsia="宋体"/>
              <w:b/>
              <w:bCs/>
              <w:sz w:val="48"/>
              <w:szCs w:val="48"/>
            </w:rPr>
            <w:t>录</w:t>
          </w:r>
        </w:p>
        <w:p w14:paraId="1848E9C7">
          <w:pPr>
            <w:spacing w:before="0" w:beforeLines="0" w:after="0" w:afterLines="0" w:line="240" w:lineRule="auto"/>
            <w:ind w:left="0" w:leftChars="0" w:right="0" w:rightChars="0" w:firstLine="0" w:firstLineChars="0"/>
            <w:jc w:val="center"/>
            <w:rPr>
              <w:rFonts w:ascii="宋体" w:hAnsi="宋体" w:eastAsia="宋体"/>
              <w:b/>
              <w:bCs/>
              <w:sz w:val="48"/>
              <w:szCs w:val="48"/>
            </w:rPr>
          </w:pPr>
        </w:p>
        <w:p w14:paraId="76A8041B">
          <w:pPr>
            <w:pStyle w:val="4"/>
            <w:tabs>
              <w:tab w:val="right" w:leader="dot" w:pos="8306"/>
            </w:tabs>
          </w:pPr>
          <w:r>
            <w:rPr>
              <w:rFonts w:hint="eastAsia"/>
              <w:lang w:val="en-US" w:eastAsia="zh-CN"/>
            </w:rPr>
            <w:fldChar w:fldCharType="begin"/>
          </w:r>
          <w:r>
            <w:rPr>
              <w:rFonts w:hint="eastAsia"/>
              <w:lang w:val="en-US" w:eastAsia="zh-CN"/>
            </w:rPr>
            <w:instrText xml:space="preserve">TOC \o "1-2" \h \u </w:instrText>
          </w:r>
          <w:r>
            <w:rPr>
              <w:rFonts w:hint="eastAsia"/>
              <w:lang w:val="en-US" w:eastAsia="zh-CN"/>
            </w:rPr>
            <w:fldChar w:fldCharType="separate"/>
          </w:r>
          <w:r>
            <w:rPr>
              <w:rFonts w:hint="eastAsia"/>
              <w:lang w:val="en-US" w:eastAsia="zh-CN"/>
            </w:rPr>
            <w:fldChar w:fldCharType="begin"/>
          </w:r>
          <w:r>
            <w:rPr>
              <w:rFonts w:hint="eastAsia"/>
              <w:lang w:val="en-US" w:eastAsia="zh-CN"/>
            </w:rPr>
            <w:instrText xml:space="preserve"> HYPERLINK \l _Toc21647 </w:instrText>
          </w:r>
          <w:r>
            <w:rPr>
              <w:rFonts w:hint="eastAsia"/>
              <w:lang w:val="en-US" w:eastAsia="zh-CN"/>
            </w:rPr>
            <w:fldChar w:fldCharType="separate"/>
          </w:r>
          <w:r>
            <w:rPr>
              <w:rFonts w:hint="eastAsia" w:ascii="Times New Roman" w:eastAsia="黑体"/>
              <w:lang w:val="en-US" w:eastAsia="zh-CN"/>
            </w:rPr>
            <w:t>1  前置说明</w:t>
          </w:r>
          <w:r>
            <w:tab/>
          </w:r>
          <w:r>
            <w:fldChar w:fldCharType="begin"/>
          </w:r>
          <w:r>
            <w:instrText xml:space="preserve"> PAGEREF _Toc21647 \h </w:instrText>
          </w:r>
          <w:r>
            <w:fldChar w:fldCharType="separate"/>
          </w:r>
          <w:r>
            <w:t>1</w:t>
          </w:r>
          <w:r>
            <w:fldChar w:fldCharType="end"/>
          </w:r>
          <w:r>
            <w:rPr>
              <w:rFonts w:hint="eastAsia"/>
              <w:lang w:val="en-US" w:eastAsia="zh-CN"/>
            </w:rPr>
            <w:fldChar w:fldCharType="end"/>
          </w:r>
        </w:p>
        <w:p w14:paraId="609867BF">
          <w:pPr>
            <w:pStyle w:val="4"/>
            <w:tabs>
              <w:tab w:val="right" w:leader="dot" w:pos="8306"/>
            </w:tabs>
          </w:pPr>
          <w:r>
            <w:rPr>
              <w:rFonts w:hint="eastAsia"/>
              <w:lang w:val="en-US" w:eastAsia="zh-CN"/>
            </w:rPr>
            <w:fldChar w:fldCharType="begin"/>
          </w:r>
          <w:r>
            <w:rPr>
              <w:rFonts w:hint="eastAsia"/>
              <w:lang w:val="en-US" w:eastAsia="zh-CN"/>
            </w:rPr>
            <w:instrText xml:space="preserve"> HYPERLINK \l _Toc16618 </w:instrText>
          </w:r>
          <w:r>
            <w:rPr>
              <w:rFonts w:hint="eastAsia"/>
              <w:lang w:val="en-US" w:eastAsia="zh-CN"/>
            </w:rPr>
            <w:fldChar w:fldCharType="separate"/>
          </w:r>
          <w:r>
            <w:rPr>
              <w:rFonts w:hint="eastAsia" w:ascii="Times New Roman" w:eastAsia="黑体"/>
              <w:lang w:val="en-US" w:eastAsia="zh-CN"/>
            </w:rPr>
            <w:t>2  项目设置</w:t>
          </w:r>
          <w:r>
            <w:tab/>
          </w:r>
          <w:r>
            <w:fldChar w:fldCharType="begin"/>
          </w:r>
          <w:r>
            <w:instrText xml:space="preserve"> PAGEREF _Toc16618 \h </w:instrText>
          </w:r>
          <w:r>
            <w:fldChar w:fldCharType="separate"/>
          </w:r>
          <w:r>
            <w:t>1</w:t>
          </w:r>
          <w:r>
            <w:fldChar w:fldCharType="end"/>
          </w:r>
          <w:r>
            <w:rPr>
              <w:rFonts w:hint="eastAsia"/>
              <w:lang w:val="en-US" w:eastAsia="zh-CN"/>
            </w:rPr>
            <w:fldChar w:fldCharType="end"/>
          </w:r>
        </w:p>
        <w:p w14:paraId="564EB34F">
          <w:pPr>
            <w:pStyle w:val="5"/>
            <w:tabs>
              <w:tab w:val="right" w:leader="dot" w:pos="8306"/>
            </w:tabs>
          </w:pPr>
          <w:r>
            <w:rPr>
              <w:rFonts w:hint="eastAsia"/>
              <w:lang w:val="en-US" w:eastAsia="zh-CN"/>
            </w:rPr>
            <w:fldChar w:fldCharType="begin"/>
          </w:r>
          <w:r>
            <w:rPr>
              <w:rFonts w:hint="eastAsia"/>
              <w:lang w:val="en-US" w:eastAsia="zh-CN"/>
            </w:rPr>
            <w:instrText xml:space="preserve"> HYPERLINK \l _Toc18082 </w:instrText>
          </w:r>
          <w:r>
            <w:rPr>
              <w:rFonts w:hint="eastAsia"/>
              <w:lang w:val="en-US" w:eastAsia="zh-CN"/>
            </w:rPr>
            <w:fldChar w:fldCharType="separate"/>
          </w:r>
          <w:r>
            <w:rPr>
              <w:rFonts w:hint="eastAsia" w:ascii="Times New Roman" w:eastAsia="黑体"/>
              <w:lang w:val="en-US" w:eastAsia="zh-CN"/>
            </w:rPr>
            <w:t>2.1  所在区域设计</w:t>
          </w:r>
          <w:r>
            <w:tab/>
          </w:r>
          <w:r>
            <w:fldChar w:fldCharType="begin"/>
          </w:r>
          <w:r>
            <w:instrText xml:space="preserve"> PAGEREF _Toc18082 \h </w:instrText>
          </w:r>
          <w:r>
            <w:fldChar w:fldCharType="separate"/>
          </w:r>
          <w:r>
            <w:t>2</w:t>
          </w:r>
          <w:r>
            <w:fldChar w:fldCharType="end"/>
          </w:r>
          <w:r>
            <w:rPr>
              <w:rFonts w:hint="eastAsia"/>
              <w:lang w:val="en-US" w:eastAsia="zh-CN"/>
            </w:rPr>
            <w:fldChar w:fldCharType="end"/>
          </w:r>
        </w:p>
        <w:p w14:paraId="2E0E09DC">
          <w:pPr>
            <w:pStyle w:val="5"/>
            <w:tabs>
              <w:tab w:val="right" w:leader="dot" w:pos="8306"/>
            </w:tabs>
          </w:pPr>
          <w:r>
            <w:rPr>
              <w:rFonts w:hint="eastAsia"/>
              <w:lang w:val="en-US" w:eastAsia="zh-CN"/>
            </w:rPr>
            <w:fldChar w:fldCharType="begin"/>
          </w:r>
          <w:r>
            <w:rPr>
              <w:rFonts w:hint="eastAsia"/>
              <w:lang w:val="en-US" w:eastAsia="zh-CN"/>
            </w:rPr>
            <w:instrText xml:space="preserve"> HYPERLINK \l _Toc9936 </w:instrText>
          </w:r>
          <w:r>
            <w:rPr>
              <w:rFonts w:hint="eastAsia"/>
              <w:lang w:val="en-US" w:eastAsia="zh-CN"/>
            </w:rPr>
            <w:fldChar w:fldCharType="separate"/>
          </w:r>
          <w:r>
            <w:rPr>
              <w:rFonts w:hint="eastAsia" w:ascii="Times New Roman" w:eastAsia="黑体"/>
              <w:lang w:val="en-US" w:eastAsia="zh-CN"/>
            </w:rPr>
            <w:t>2.2  碳库与排放源</w:t>
          </w:r>
          <w:r>
            <w:tab/>
          </w:r>
          <w:r>
            <w:fldChar w:fldCharType="begin"/>
          </w:r>
          <w:r>
            <w:instrText xml:space="preserve"> PAGEREF _Toc9936 \h </w:instrText>
          </w:r>
          <w:r>
            <w:fldChar w:fldCharType="separate"/>
          </w:r>
          <w:r>
            <w:t>2</w:t>
          </w:r>
          <w:r>
            <w:fldChar w:fldCharType="end"/>
          </w:r>
          <w:r>
            <w:rPr>
              <w:rFonts w:hint="eastAsia"/>
              <w:lang w:val="en-US" w:eastAsia="zh-CN"/>
            </w:rPr>
            <w:fldChar w:fldCharType="end"/>
          </w:r>
        </w:p>
        <w:p w14:paraId="7DE10166">
          <w:pPr>
            <w:pStyle w:val="5"/>
            <w:tabs>
              <w:tab w:val="right" w:leader="dot" w:pos="8306"/>
            </w:tabs>
          </w:pPr>
          <w:r>
            <w:rPr>
              <w:rFonts w:hint="eastAsia"/>
              <w:lang w:val="en-US" w:eastAsia="zh-CN"/>
            </w:rPr>
            <w:fldChar w:fldCharType="begin"/>
          </w:r>
          <w:r>
            <w:rPr>
              <w:rFonts w:hint="eastAsia"/>
              <w:lang w:val="en-US" w:eastAsia="zh-CN"/>
            </w:rPr>
            <w:instrText xml:space="preserve"> HYPERLINK \l _Toc32052 </w:instrText>
          </w:r>
          <w:r>
            <w:rPr>
              <w:rFonts w:hint="eastAsia"/>
              <w:lang w:val="en-US" w:eastAsia="zh-CN"/>
            </w:rPr>
            <w:fldChar w:fldCharType="separate"/>
          </w:r>
          <w:r>
            <w:rPr>
              <w:rFonts w:hint="eastAsia" w:ascii="Times New Roman" w:eastAsia="黑体"/>
              <w:lang w:val="en-US" w:eastAsia="zh-CN"/>
            </w:rPr>
            <w:t>2.3  木竹产品流向与比例</w:t>
          </w:r>
          <w:r>
            <w:tab/>
          </w:r>
          <w:r>
            <w:fldChar w:fldCharType="begin"/>
          </w:r>
          <w:r>
            <w:instrText xml:space="preserve"> PAGEREF _Toc32052 \h </w:instrText>
          </w:r>
          <w:r>
            <w:fldChar w:fldCharType="separate"/>
          </w:r>
          <w:r>
            <w:t>2</w:t>
          </w:r>
          <w:r>
            <w:fldChar w:fldCharType="end"/>
          </w:r>
          <w:r>
            <w:rPr>
              <w:rFonts w:hint="eastAsia"/>
              <w:lang w:val="en-US" w:eastAsia="zh-CN"/>
            </w:rPr>
            <w:fldChar w:fldCharType="end"/>
          </w:r>
        </w:p>
        <w:p w14:paraId="3C6A8C51">
          <w:pPr>
            <w:pStyle w:val="5"/>
            <w:tabs>
              <w:tab w:val="right" w:leader="dot" w:pos="8306"/>
            </w:tabs>
          </w:pPr>
          <w:r>
            <w:rPr>
              <w:rFonts w:hint="eastAsia"/>
              <w:lang w:val="en-US" w:eastAsia="zh-CN"/>
            </w:rPr>
            <w:fldChar w:fldCharType="begin"/>
          </w:r>
          <w:r>
            <w:rPr>
              <w:rFonts w:hint="eastAsia"/>
              <w:lang w:val="en-US" w:eastAsia="zh-CN"/>
            </w:rPr>
            <w:instrText xml:space="preserve"> HYPERLINK \l _Toc29805 </w:instrText>
          </w:r>
          <w:r>
            <w:rPr>
              <w:rFonts w:hint="eastAsia"/>
              <w:lang w:val="en-US" w:eastAsia="zh-CN"/>
            </w:rPr>
            <w:fldChar w:fldCharType="separate"/>
          </w:r>
          <w:r>
            <w:rPr>
              <w:rFonts w:hint="eastAsia" w:ascii="Times New Roman" w:eastAsia="黑体"/>
              <w:lang w:val="en-US" w:eastAsia="zh-CN"/>
            </w:rPr>
            <w:t>2.4  碳层划分一致性</w:t>
          </w:r>
          <w:r>
            <w:tab/>
          </w:r>
          <w:r>
            <w:fldChar w:fldCharType="begin"/>
          </w:r>
          <w:r>
            <w:instrText xml:space="preserve"> PAGEREF _Toc29805 \h </w:instrText>
          </w:r>
          <w:r>
            <w:fldChar w:fldCharType="separate"/>
          </w:r>
          <w:r>
            <w:t>2</w:t>
          </w:r>
          <w:r>
            <w:fldChar w:fldCharType="end"/>
          </w:r>
          <w:r>
            <w:rPr>
              <w:rFonts w:hint="eastAsia"/>
              <w:lang w:val="en-US" w:eastAsia="zh-CN"/>
            </w:rPr>
            <w:fldChar w:fldCharType="end"/>
          </w:r>
        </w:p>
        <w:p w14:paraId="173E067F">
          <w:pPr>
            <w:pStyle w:val="4"/>
            <w:tabs>
              <w:tab w:val="right" w:leader="dot" w:pos="8306"/>
            </w:tabs>
          </w:pPr>
          <w:r>
            <w:rPr>
              <w:rFonts w:hint="eastAsia"/>
              <w:lang w:val="en-US" w:eastAsia="zh-CN"/>
            </w:rPr>
            <w:fldChar w:fldCharType="begin"/>
          </w:r>
          <w:r>
            <w:rPr>
              <w:rFonts w:hint="eastAsia"/>
              <w:lang w:val="en-US" w:eastAsia="zh-CN"/>
            </w:rPr>
            <w:instrText xml:space="preserve"> HYPERLINK \l _Toc16897 </w:instrText>
          </w:r>
          <w:r>
            <w:rPr>
              <w:rFonts w:hint="eastAsia"/>
              <w:lang w:val="en-US" w:eastAsia="zh-CN"/>
            </w:rPr>
            <w:fldChar w:fldCharType="separate"/>
          </w:r>
          <w:r>
            <w:rPr>
              <w:rFonts w:hint="eastAsia" w:ascii="Times New Roman" w:eastAsia="黑体"/>
              <w:lang w:val="en-US" w:eastAsia="zh-CN"/>
            </w:rPr>
            <w:t>3  设计估算</w:t>
          </w:r>
          <w:r>
            <w:tab/>
          </w:r>
          <w:r>
            <w:fldChar w:fldCharType="begin"/>
          </w:r>
          <w:r>
            <w:instrText xml:space="preserve"> PAGEREF _Toc16897 \h </w:instrText>
          </w:r>
          <w:r>
            <w:fldChar w:fldCharType="separate"/>
          </w:r>
          <w:r>
            <w:t>3</w:t>
          </w:r>
          <w:r>
            <w:fldChar w:fldCharType="end"/>
          </w:r>
          <w:r>
            <w:rPr>
              <w:rFonts w:hint="eastAsia"/>
              <w:lang w:val="en-US" w:eastAsia="zh-CN"/>
            </w:rPr>
            <w:fldChar w:fldCharType="end"/>
          </w:r>
        </w:p>
        <w:p w14:paraId="244718A6">
          <w:pPr>
            <w:pStyle w:val="5"/>
            <w:tabs>
              <w:tab w:val="right" w:leader="dot" w:pos="8306"/>
            </w:tabs>
          </w:pPr>
          <w:r>
            <w:rPr>
              <w:rFonts w:hint="eastAsia"/>
              <w:lang w:val="en-US" w:eastAsia="zh-CN"/>
            </w:rPr>
            <w:fldChar w:fldCharType="begin"/>
          </w:r>
          <w:r>
            <w:rPr>
              <w:rFonts w:hint="eastAsia"/>
              <w:lang w:val="en-US" w:eastAsia="zh-CN"/>
            </w:rPr>
            <w:instrText xml:space="preserve"> HYPERLINK \l _Toc6203 </w:instrText>
          </w:r>
          <w:r>
            <w:rPr>
              <w:rFonts w:hint="eastAsia"/>
              <w:lang w:val="en-US" w:eastAsia="zh-CN"/>
            </w:rPr>
            <w:fldChar w:fldCharType="separate"/>
          </w:r>
          <w:r>
            <w:rPr>
              <w:rFonts w:hint="eastAsia" w:ascii="Times New Roman" w:eastAsia="黑体"/>
              <w:lang w:val="en-US" w:eastAsia="zh-CN"/>
            </w:rPr>
            <w:t>3.1  相关设置</w:t>
          </w:r>
          <w:r>
            <w:tab/>
          </w:r>
          <w:r>
            <w:fldChar w:fldCharType="begin"/>
          </w:r>
          <w:r>
            <w:instrText xml:space="preserve"> PAGEREF _Toc6203 \h </w:instrText>
          </w:r>
          <w:r>
            <w:fldChar w:fldCharType="separate"/>
          </w:r>
          <w:r>
            <w:t>3</w:t>
          </w:r>
          <w:r>
            <w:fldChar w:fldCharType="end"/>
          </w:r>
          <w:r>
            <w:rPr>
              <w:rFonts w:hint="eastAsia"/>
              <w:lang w:val="en-US" w:eastAsia="zh-CN"/>
            </w:rPr>
            <w:fldChar w:fldCharType="end"/>
          </w:r>
        </w:p>
        <w:p w14:paraId="20E74F81">
          <w:pPr>
            <w:pStyle w:val="5"/>
            <w:tabs>
              <w:tab w:val="right" w:leader="dot" w:pos="8306"/>
            </w:tabs>
          </w:pPr>
          <w:r>
            <w:rPr>
              <w:rFonts w:hint="eastAsia"/>
              <w:lang w:val="en-US" w:eastAsia="zh-CN"/>
            </w:rPr>
            <w:fldChar w:fldCharType="begin"/>
          </w:r>
          <w:r>
            <w:rPr>
              <w:rFonts w:hint="eastAsia"/>
              <w:lang w:val="en-US" w:eastAsia="zh-CN"/>
            </w:rPr>
            <w:instrText xml:space="preserve"> HYPERLINK \l _Toc3741 </w:instrText>
          </w:r>
          <w:r>
            <w:rPr>
              <w:rFonts w:hint="eastAsia"/>
              <w:lang w:val="en-US" w:eastAsia="zh-CN"/>
            </w:rPr>
            <w:fldChar w:fldCharType="separate"/>
          </w:r>
          <w:r>
            <w:rPr>
              <w:rFonts w:hint="eastAsia" w:ascii="Times New Roman" w:eastAsia="黑体"/>
              <w:lang w:val="en-US" w:eastAsia="zh-CN"/>
            </w:rPr>
            <w:t>3.2  导入项目设计数据</w:t>
          </w:r>
          <w:r>
            <w:tab/>
          </w:r>
          <w:r>
            <w:fldChar w:fldCharType="begin"/>
          </w:r>
          <w:r>
            <w:instrText xml:space="preserve"> PAGEREF _Toc3741 \h </w:instrText>
          </w:r>
          <w:r>
            <w:fldChar w:fldCharType="separate"/>
          </w:r>
          <w:r>
            <w:t>4</w:t>
          </w:r>
          <w:r>
            <w:fldChar w:fldCharType="end"/>
          </w:r>
          <w:r>
            <w:rPr>
              <w:rFonts w:hint="eastAsia"/>
              <w:lang w:val="en-US" w:eastAsia="zh-CN"/>
            </w:rPr>
            <w:fldChar w:fldCharType="end"/>
          </w:r>
        </w:p>
        <w:p w14:paraId="74E4F4A2">
          <w:pPr>
            <w:pStyle w:val="5"/>
            <w:tabs>
              <w:tab w:val="right" w:leader="dot" w:pos="8306"/>
            </w:tabs>
          </w:pPr>
          <w:r>
            <w:rPr>
              <w:rFonts w:hint="eastAsia"/>
              <w:lang w:val="en-US" w:eastAsia="zh-CN"/>
            </w:rPr>
            <w:fldChar w:fldCharType="begin"/>
          </w:r>
          <w:r>
            <w:rPr>
              <w:rFonts w:hint="eastAsia"/>
              <w:lang w:val="en-US" w:eastAsia="zh-CN"/>
            </w:rPr>
            <w:instrText xml:space="preserve"> HYPERLINK \l _Toc24178 </w:instrText>
          </w:r>
          <w:r>
            <w:rPr>
              <w:rFonts w:hint="eastAsia"/>
              <w:lang w:val="en-US" w:eastAsia="zh-CN"/>
            </w:rPr>
            <w:fldChar w:fldCharType="separate"/>
          </w:r>
          <w:r>
            <w:rPr>
              <w:rFonts w:hint="eastAsia" w:ascii="Times New Roman" w:eastAsia="黑体"/>
              <w:lang w:val="en-US" w:eastAsia="zh-CN"/>
            </w:rPr>
            <w:t>3.3  碳汇量预估</w:t>
          </w:r>
          <w:r>
            <w:tab/>
          </w:r>
          <w:r>
            <w:fldChar w:fldCharType="begin"/>
          </w:r>
          <w:r>
            <w:instrText xml:space="preserve"> PAGEREF _Toc24178 \h </w:instrText>
          </w:r>
          <w:r>
            <w:fldChar w:fldCharType="separate"/>
          </w:r>
          <w:r>
            <w:t>6</w:t>
          </w:r>
          <w:r>
            <w:fldChar w:fldCharType="end"/>
          </w:r>
          <w:r>
            <w:rPr>
              <w:rFonts w:hint="eastAsia"/>
              <w:lang w:val="en-US" w:eastAsia="zh-CN"/>
            </w:rPr>
            <w:fldChar w:fldCharType="end"/>
          </w:r>
        </w:p>
        <w:p w14:paraId="4CA24696">
          <w:pPr>
            <w:pStyle w:val="5"/>
            <w:tabs>
              <w:tab w:val="right" w:leader="dot" w:pos="8306"/>
            </w:tabs>
          </w:pPr>
          <w:r>
            <w:rPr>
              <w:rFonts w:hint="eastAsia"/>
              <w:lang w:val="en-US" w:eastAsia="zh-CN"/>
            </w:rPr>
            <w:fldChar w:fldCharType="begin"/>
          </w:r>
          <w:r>
            <w:rPr>
              <w:rFonts w:hint="eastAsia"/>
              <w:lang w:val="en-US" w:eastAsia="zh-CN"/>
            </w:rPr>
            <w:instrText xml:space="preserve"> HYPERLINK \l _Toc15220 </w:instrText>
          </w:r>
          <w:r>
            <w:rPr>
              <w:rFonts w:hint="eastAsia"/>
              <w:lang w:val="en-US" w:eastAsia="zh-CN"/>
            </w:rPr>
            <w:fldChar w:fldCharType="separate"/>
          </w:r>
          <w:r>
            <w:rPr>
              <w:rFonts w:hint="eastAsia" w:ascii="Times New Roman" w:eastAsia="黑体"/>
              <w:lang w:val="en-US" w:eastAsia="zh-CN"/>
            </w:rPr>
            <w:t>3.3 导出Excel表格</w:t>
          </w:r>
          <w:r>
            <w:tab/>
          </w:r>
          <w:r>
            <w:fldChar w:fldCharType="begin"/>
          </w:r>
          <w:r>
            <w:instrText xml:space="preserve"> PAGEREF _Toc15220 \h </w:instrText>
          </w:r>
          <w:r>
            <w:fldChar w:fldCharType="separate"/>
          </w:r>
          <w:r>
            <w:t>7</w:t>
          </w:r>
          <w:r>
            <w:fldChar w:fldCharType="end"/>
          </w:r>
          <w:r>
            <w:rPr>
              <w:rFonts w:hint="eastAsia"/>
              <w:lang w:val="en-US" w:eastAsia="zh-CN"/>
            </w:rPr>
            <w:fldChar w:fldCharType="end"/>
          </w:r>
        </w:p>
        <w:p w14:paraId="6D95A4B8">
          <w:pPr>
            <w:pStyle w:val="4"/>
            <w:tabs>
              <w:tab w:val="right" w:leader="dot" w:pos="8306"/>
            </w:tabs>
          </w:pPr>
          <w:r>
            <w:rPr>
              <w:rFonts w:hint="eastAsia"/>
              <w:lang w:val="en-US" w:eastAsia="zh-CN"/>
            </w:rPr>
            <w:fldChar w:fldCharType="begin"/>
          </w:r>
          <w:r>
            <w:rPr>
              <w:rFonts w:hint="eastAsia"/>
              <w:lang w:val="en-US" w:eastAsia="zh-CN"/>
            </w:rPr>
            <w:instrText xml:space="preserve"> HYPERLINK \l _Toc20127 </w:instrText>
          </w:r>
          <w:r>
            <w:rPr>
              <w:rFonts w:hint="eastAsia"/>
              <w:lang w:val="en-US" w:eastAsia="zh-CN"/>
            </w:rPr>
            <w:fldChar w:fldCharType="separate"/>
          </w:r>
          <w:r>
            <w:rPr>
              <w:rFonts w:hint="eastAsia" w:ascii="Times New Roman" w:eastAsia="黑体"/>
              <w:lang w:val="en-US" w:eastAsia="zh-CN"/>
            </w:rPr>
            <w:t>4  监测统计</w:t>
          </w:r>
          <w:r>
            <w:tab/>
          </w:r>
          <w:r>
            <w:fldChar w:fldCharType="begin"/>
          </w:r>
          <w:r>
            <w:instrText xml:space="preserve"> PAGEREF _Toc20127 \h </w:instrText>
          </w:r>
          <w:r>
            <w:fldChar w:fldCharType="separate"/>
          </w:r>
          <w:r>
            <w:t>8</w:t>
          </w:r>
          <w:r>
            <w:fldChar w:fldCharType="end"/>
          </w:r>
          <w:r>
            <w:rPr>
              <w:rFonts w:hint="eastAsia"/>
              <w:lang w:val="en-US" w:eastAsia="zh-CN"/>
            </w:rPr>
            <w:fldChar w:fldCharType="end"/>
          </w:r>
        </w:p>
        <w:p w14:paraId="083EE45B">
          <w:pPr>
            <w:pStyle w:val="5"/>
            <w:tabs>
              <w:tab w:val="right" w:leader="dot" w:pos="8306"/>
            </w:tabs>
          </w:pPr>
          <w:r>
            <w:rPr>
              <w:rFonts w:hint="eastAsia"/>
              <w:lang w:val="en-US" w:eastAsia="zh-CN"/>
            </w:rPr>
            <w:fldChar w:fldCharType="begin"/>
          </w:r>
          <w:r>
            <w:rPr>
              <w:rFonts w:hint="eastAsia"/>
              <w:lang w:val="en-US" w:eastAsia="zh-CN"/>
            </w:rPr>
            <w:instrText xml:space="preserve"> HYPERLINK \l _Toc10111 </w:instrText>
          </w:r>
          <w:r>
            <w:rPr>
              <w:rFonts w:hint="eastAsia"/>
              <w:lang w:val="en-US" w:eastAsia="zh-CN"/>
            </w:rPr>
            <w:fldChar w:fldCharType="separate"/>
          </w:r>
          <w:r>
            <w:rPr>
              <w:rFonts w:hint="eastAsia" w:ascii="Times New Roman" w:eastAsia="黑体"/>
              <w:lang w:val="en-US" w:eastAsia="zh-CN"/>
            </w:rPr>
            <w:t>4.1  设置</w:t>
          </w:r>
          <w:r>
            <w:tab/>
          </w:r>
          <w:r>
            <w:fldChar w:fldCharType="begin"/>
          </w:r>
          <w:r>
            <w:instrText xml:space="preserve"> PAGEREF _Toc10111 \h </w:instrText>
          </w:r>
          <w:r>
            <w:fldChar w:fldCharType="separate"/>
          </w:r>
          <w:r>
            <w:t>8</w:t>
          </w:r>
          <w:r>
            <w:fldChar w:fldCharType="end"/>
          </w:r>
          <w:r>
            <w:rPr>
              <w:rFonts w:hint="eastAsia"/>
              <w:lang w:val="en-US" w:eastAsia="zh-CN"/>
            </w:rPr>
            <w:fldChar w:fldCharType="end"/>
          </w:r>
        </w:p>
        <w:p w14:paraId="45B063CA">
          <w:pPr>
            <w:pStyle w:val="5"/>
            <w:tabs>
              <w:tab w:val="right" w:leader="dot" w:pos="8306"/>
            </w:tabs>
          </w:pPr>
          <w:r>
            <w:rPr>
              <w:rFonts w:hint="eastAsia"/>
              <w:lang w:val="en-US" w:eastAsia="zh-CN"/>
            </w:rPr>
            <w:fldChar w:fldCharType="begin"/>
          </w:r>
          <w:r>
            <w:rPr>
              <w:rFonts w:hint="eastAsia"/>
              <w:lang w:val="en-US" w:eastAsia="zh-CN"/>
            </w:rPr>
            <w:instrText xml:space="preserve"> HYPERLINK \l _Toc29418 </w:instrText>
          </w:r>
          <w:r>
            <w:rPr>
              <w:rFonts w:hint="eastAsia"/>
              <w:lang w:val="en-US" w:eastAsia="zh-CN"/>
            </w:rPr>
            <w:fldChar w:fldCharType="separate"/>
          </w:r>
          <w:r>
            <w:rPr>
              <w:rFonts w:hint="eastAsia" w:ascii="Times New Roman" w:eastAsia="黑体"/>
              <w:lang w:val="en-US" w:eastAsia="zh-CN"/>
            </w:rPr>
            <w:t>4.2  导入样地数据</w:t>
          </w:r>
          <w:r>
            <w:tab/>
          </w:r>
          <w:r>
            <w:fldChar w:fldCharType="begin"/>
          </w:r>
          <w:r>
            <w:instrText xml:space="preserve"> PAGEREF _Toc29418 \h </w:instrText>
          </w:r>
          <w:r>
            <w:fldChar w:fldCharType="separate"/>
          </w:r>
          <w:r>
            <w:t>9</w:t>
          </w:r>
          <w:r>
            <w:fldChar w:fldCharType="end"/>
          </w:r>
          <w:r>
            <w:rPr>
              <w:rFonts w:hint="eastAsia"/>
              <w:lang w:val="en-US" w:eastAsia="zh-CN"/>
            </w:rPr>
            <w:fldChar w:fldCharType="end"/>
          </w:r>
        </w:p>
        <w:p w14:paraId="683D6DBC">
          <w:pPr>
            <w:pStyle w:val="5"/>
            <w:tabs>
              <w:tab w:val="right" w:leader="dot" w:pos="8306"/>
            </w:tabs>
          </w:pPr>
          <w:r>
            <w:rPr>
              <w:rFonts w:hint="eastAsia"/>
              <w:lang w:val="en-US" w:eastAsia="zh-CN"/>
            </w:rPr>
            <w:fldChar w:fldCharType="begin"/>
          </w:r>
          <w:r>
            <w:rPr>
              <w:rFonts w:hint="eastAsia"/>
              <w:lang w:val="en-US" w:eastAsia="zh-CN"/>
            </w:rPr>
            <w:instrText xml:space="preserve"> HYPERLINK \l _Toc9974 </w:instrText>
          </w:r>
          <w:r>
            <w:rPr>
              <w:rFonts w:hint="eastAsia"/>
              <w:lang w:val="en-US" w:eastAsia="zh-CN"/>
            </w:rPr>
            <w:fldChar w:fldCharType="separate"/>
          </w:r>
          <w:r>
            <w:rPr>
              <w:rFonts w:hint="eastAsia" w:ascii="Times New Roman" w:eastAsia="黑体"/>
              <w:lang w:val="en-US" w:eastAsia="zh-CN"/>
            </w:rPr>
            <w:t>4.3  导入火烧数据</w:t>
          </w:r>
          <w:r>
            <w:tab/>
          </w:r>
          <w:r>
            <w:fldChar w:fldCharType="begin"/>
          </w:r>
          <w:r>
            <w:instrText xml:space="preserve"> PAGEREF _Toc9974 \h </w:instrText>
          </w:r>
          <w:r>
            <w:fldChar w:fldCharType="separate"/>
          </w:r>
          <w:r>
            <w:t>10</w:t>
          </w:r>
          <w:r>
            <w:fldChar w:fldCharType="end"/>
          </w:r>
          <w:r>
            <w:rPr>
              <w:rFonts w:hint="eastAsia"/>
              <w:lang w:val="en-US" w:eastAsia="zh-CN"/>
            </w:rPr>
            <w:fldChar w:fldCharType="end"/>
          </w:r>
        </w:p>
        <w:p w14:paraId="570760C0">
          <w:pPr>
            <w:pStyle w:val="5"/>
            <w:tabs>
              <w:tab w:val="right" w:leader="dot" w:pos="8306"/>
            </w:tabs>
          </w:pPr>
          <w:r>
            <w:rPr>
              <w:rFonts w:hint="eastAsia"/>
              <w:lang w:val="en-US" w:eastAsia="zh-CN"/>
            </w:rPr>
            <w:fldChar w:fldCharType="begin"/>
          </w:r>
          <w:r>
            <w:rPr>
              <w:rFonts w:hint="eastAsia"/>
              <w:lang w:val="en-US" w:eastAsia="zh-CN"/>
            </w:rPr>
            <w:instrText xml:space="preserve"> HYPERLINK \l _Toc16026 </w:instrText>
          </w:r>
          <w:r>
            <w:rPr>
              <w:rFonts w:hint="eastAsia"/>
              <w:lang w:val="en-US" w:eastAsia="zh-CN"/>
            </w:rPr>
            <w:fldChar w:fldCharType="separate"/>
          </w:r>
          <w:r>
            <w:rPr>
              <w:rFonts w:hint="eastAsia" w:ascii="Times New Roman" w:eastAsia="黑体"/>
              <w:lang w:val="en-US" w:eastAsia="zh-CN"/>
            </w:rPr>
            <w:t>4.4 碳汇量统计</w:t>
          </w:r>
          <w:r>
            <w:tab/>
          </w:r>
          <w:r>
            <w:fldChar w:fldCharType="begin"/>
          </w:r>
          <w:r>
            <w:instrText xml:space="preserve"> PAGEREF _Toc16026 \h </w:instrText>
          </w:r>
          <w:r>
            <w:fldChar w:fldCharType="separate"/>
          </w:r>
          <w:r>
            <w:t>11</w:t>
          </w:r>
          <w:r>
            <w:fldChar w:fldCharType="end"/>
          </w:r>
          <w:r>
            <w:rPr>
              <w:rFonts w:hint="eastAsia"/>
              <w:lang w:val="en-US" w:eastAsia="zh-CN"/>
            </w:rPr>
            <w:fldChar w:fldCharType="end"/>
          </w:r>
        </w:p>
        <w:p w14:paraId="0C5BC8A7">
          <w:pPr>
            <w:pStyle w:val="5"/>
            <w:tabs>
              <w:tab w:val="right" w:leader="dot" w:pos="8306"/>
            </w:tabs>
          </w:pPr>
          <w:r>
            <w:rPr>
              <w:rFonts w:hint="eastAsia"/>
              <w:lang w:val="en-US" w:eastAsia="zh-CN"/>
            </w:rPr>
            <w:fldChar w:fldCharType="begin"/>
          </w:r>
          <w:r>
            <w:rPr>
              <w:rFonts w:hint="eastAsia"/>
              <w:lang w:val="en-US" w:eastAsia="zh-CN"/>
            </w:rPr>
            <w:instrText xml:space="preserve"> HYPERLINK \l _Toc14411 </w:instrText>
          </w:r>
          <w:r>
            <w:rPr>
              <w:rFonts w:hint="eastAsia"/>
              <w:lang w:val="en-US" w:eastAsia="zh-CN"/>
            </w:rPr>
            <w:fldChar w:fldCharType="separate"/>
          </w:r>
          <w:r>
            <w:rPr>
              <w:rFonts w:hint="eastAsia" w:ascii="Times New Roman" w:eastAsia="黑体"/>
              <w:lang w:val="en-US" w:eastAsia="zh-CN"/>
            </w:rPr>
            <w:t>4.5 数据导出</w:t>
          </w:r>
          <w:r>
            <w:tab/>
          </w:r>
          <w:r>
            <w:fldChar w:fldCharType="begin"/>
          </w:r>
          <w:r>
            <w:instrText xml:space="preserve"> PAGEREF _Toc14411 \h </w:instrText>
          </w:r>
          <w:r>
            <w:fldChar w:fldCharType="separate"/>
          </w:r>
          <w:r>
            <w:t>12</w:t>
          </w:r>
          <w:r>
            <w:fldChar w:fldCharType="end"/>
          </w:r>
          <w:r>
            <w:rPr>
              <w:rFonts w:hint="eastAsia"/>
              <w:lang w:val="en-US" w:eastAsia="zh-CN"/>
            </w:rPr>
            <w:fldChar w:fldCharType="end"/>
          </w:r>
        </w:p>
        <w:p w14:paraId="1F125C93">
          <w:pPr>
            <w:pStyle w:val="4"/>
            <w:tabs>
              <w:tab w:val="right" w:leader="dot" w:pos="8306"/>
            </w:tabs>
          </w:pPr>
          <w:r>
            <w:rPr>
              <w:rFonts w:hint="eastAsia"/>
              <w:lang w:val="en-US" w:eastAsia="zh-CN"/>
            </w:rPr>
            <w:fldChar w:fldCharType="begin"/>
          </w:r>
          <w:r>
            <w:rPr>
              <w:rFonts w:hint="eastAsia"/>
              <w:lang w:val="en-US" w:eastAsia="zh-CN"/>
            </w:rPr>
            <w:instrText xml:space="preserve"> HYPERLINK \l _Toc13712 </w:instrText>
          </w:r>
          <w:r>
            <w:rPr>
              <w:rFonts w:hint="eastAsia"/>
              <w:lang w:val="en-US" w:eastAsia="zh-CN"/>
            </w:rPr>
            <w:fldChar w:fldCharType="separate"/>
          </w:r>
          <w:r>
            <w:rPr>
              <w:rFonts w:hint="eastAsia" w:ascii="Times New Roman" w:eastAsia="黑体"/>
              <w:lang w:val="en-US" w:eastAsia="zh-CN"/>
            </w:rPr>
            <w:t>5 工具说明</w:t>
          </w:r>
          <w:r>
            <w:tab/>
          </w:r>
          <w:r>
            <w:fldChar w:fldCharType="begin"/>
          </w:r>
          <w:r>
            <w:instrText xml:space="preserve"> PAGEREF _Toc13712 \h </w:instrText>
          </w:r>
          <w:r>
            <w:fldChar w:fldCharType="separate"/>
          </w:r>
          <w:r>
            <w:t>12</w:t>
          </w:r>
          <w:r>
            <w:fldChar w:fldCharType="end"/>
          </w:r>
          <w:r>
            <w:rPr>
              <w:rFonts w:hint="eastAsia"/>
              <w:lang w:val="en-US" w:eastAsia="zh-CN"/>
            </w:rPr>
            <w:fldChar w:fldCharType="end"/>
          </w:r>
        </w:p>
        <w:p w14:paraId="6CEC5E33">
          <w:pPr>
            <w:pStyle w:val="4"/>
            <w:tabs>
              <w:tab w:val="right" w:leader="dot" w:pos="8306"/>
            </w:tabs>
          </w:pPr>
          <w:r>
            <w:rPr>
              <w:rFonts w:hint="eastAsia"/>
              <w:lang w:val="en-US" w:eastAsia="zh-CN"/>
            </w:rPr>
            <w:fldChar w:fldCharType="begin"/>
          </w:r>
          <w:r>
            <w:rPr>
              <w:rFonts w:hint="eastAsia"/>
              <w:lang w:val="en-US" w:eastAsia="zh-CN"/>
            </w:rPr>
            <w:instrText xml:space="preserve"> HYPERLINK \l _Toc14889 </w:instrText>
          </w:r>
          <w:r>
            <w:rPr>
              <w:rFonts w:hint="eastAsia"/>
              <w:lang w:val="en-US" w:eastAsia="zh-CN"/>
            </w:rPr>
            <w:fldChar w:fldCharType="separate"/>
          </w:r>
          <w:r>
            <w:rPr>
              <w:rFonts w:hint="eastAsia" w:ascii="Times New Roman" w:eastAsia="黑体"/>
              <w:lang w:val="en-US" w:eastAsia="zh-CN"/>
            </w:rPr>
            <w:t>6 其他说明</w:t>
          </w:r>
          <w:r>
            <w:tab/>
          </w:r>
          <w:r>
            <w:fldChar w:fldCharType="begin"/>
          </w:r>
          <w:r>
            <w:instrText xml:space="preserve"> PAGEREF _Toc14889 \h </w:instrText>
          </w:r>
          <w:r>
            <w:fldChar w:fldCharType="separate"/>
          </w:r>
          <w:r>
            <w:t>13</w:t>
          </w:r>
          <w:r>
            <w:fldChar w:fldCharType="end"/>
          </w:r>
          <w:r>
            <w:rPr>
              <w:rFonts w:hint="eastAsia"/>
              <w:lang w:val="en-US" w:eastAsia="zh-CN"/>
            </w:rPr>
            <w:fldChar w:fldCharType="end"/>
          </w:r>
        </w:p>
        <w:p w14:paraId="7FEEC4F3">
          <w:pPr>
            <w:rPr>
              <w:rFonts w:hint="eastAsia"/>
              <w:lang w:val="en-US" w:eastAsia="zh-CN"/>
            </w:rPr>
          </w:pPr>
          <w:r>
            <w:rPr>
              <w:rFonts w:hint="eastAsia"/>
              <w:lang w:val="en-US" w:eastAsia="zh-CN"/>
            </w:rPr>
            <w:fldChar w:fldCharType="end"/>
          </w:r>
        </w:p>
      </w:sdtContent>
    </w:sdt>
    <w:p w14:paraId="5DAE56A4">
      <w:pPr>
        <w:snapToGrid/>
        <w:spacing w:before="340" w:beforeAutospacing="0" w:after="330" w:afterAutospacing="0" w:line="578" w:lineRule="auto"/>
        <w:ind w:left="0" w:leftChars="0" w:right="0" w:rightChars="0" w:firstLine="0" w:firstLineChars="0"/>
        <w:jc w:val="center"/>
        <w:outlineLvl w:val="0"/>
        <w:rPr>
          <w:rFonts w:hint="eastAsia" w:ascii="Times New Roman" w:eastAsia="黑体"/>
          <w:b/>
          <w:sz w:val="36"/>
          <w:lang w:val="en-US" w:eastAsia="zh-CN"/>
        </w:rPr>
        <w:sectPr>
          <w:pgSz w:w="11906" w:h="16838"/>
          <w:pgMar w:top="1440" w:right="1800" w:bottom="1440" w:left="1800" w:header="851" w:footer="992" w:gutter="0"/>
          <w:cols w:space="425" w:num="1"/>
          <w:docGrid w:type="lines" w:linePitch="312" w:charSpace="0"/>
        </w:sectPr>
      </w:pPr>
    </w:p>
    <w:p w14:paraId="4D164107">
      <w:pPr>
        <w:snapToGrid/>
        <w:spacing w:before="340" w:beforeAutospacing="0" w:after="330" w:afterAutospacing="0" w:line="578" w:lineRule="auto"/>
        <w:ind w:left="0" w:leftChars="0" w:right="0" w:rightChars="0" w:firstLine="0" w:firstLineChars="0"/>
        <w:jc w:val="center"/>
        <w:outlineLvl w:val="0"/>
        <w:rPr>
          <w:rFonts w:hint="default" w:ascii="Times New Roman" w:eastAsia="黑体"/>
          <w:b/>
          <w:sz w:val="36"/>
          <w:lang w:val="en-US" w:eastAsia="zh-CN"/>
        </w:rPr>
      </w:pPr>
      <w:bookmarkStart w:id="0" w:name="_Toc21647"/>
      <w:r>
        <w:rPr>
          <w:rFonts w:hint="eastAsia" w:ascii="Times New Roman" w:eastAsia="黑体"/>
          <w:b/>
          <w:sz w:val="36"/>
          <w:lang w:val="en-US" w:eastAsia="zh-CN"/>
        </w:rPr>
        <w:t>1  前置说明</w:t>
      </w:r>
      <w:bookmarkEnd w:id="0"/>
    </w:p>
    <w:p w14:paraId="7789B3CF">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本工具为福建碳中和碳汇项目专属工具。适用于福建碳中和林认定及其碳汇计量监测方法开发的碳汇量测算工具。</w:t>
      </w:r>
    </w:p>
    <w:p w14:paraId="48130DB8">
      <w:pPr>
        <w:snapToGrid/>
        <w:spacing w:beforeAutospacing="0" w:afterAutospacing="0" w:line="288" w:lineRule="auto"/>
        <w:ind w:left="0" w:leftChars="0" w:right="0" w:rightChars="0" w:firstLine="482" w:firstLineChars="0"/>
        <w:jc w:val="both"/>
        <w:rPr>
          <w:rFonts w:hint="default" w:ascii="Times New Roman" w:eastAsia="宋体"/>
          <w:sz w:val="24"/>
          <w:lang w:val="en-US" w:eastAsia="zh-CN"/>
        </w:rPr>
      </w:pPr>
      <w:r>
        <w:rPr>
          <w:rFonts w:hint="eastAsia" w:ascii="Times New Roman" w:eastAsia="宋体"/>
          <w:sz w:val="24"/>
          <w:lang w:val="en-US" w:eastAsia="zh-CN"/>
        </w:rPr>
        <w:t>本工具支持三种类型项目：造林（含迹地造林）、森林经营(含毛竹经营)和保护和恢复森林植被。其中保护和恢复森林植被不包括自然保护区的项目，自然保护区项目请使用森林经营项目测算。</w:t>
      </w:r>
    </w:p>
    <w:p w14:paraId="71BFE908">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本工具提供三种生物量计算方法：生物量方程法、立地质量指数法+福建一元方程、立地质量指数法+转换和扩展因子法；在编制项目设计文件时，如果项目监测在项目审定前开展（称为项目设计与监测同步），则三种方法均运行，最终使用生物量最接近项目监测生物量的计算方法；不同步时，优先选择立地质量指数法+福建一元方程法。，可用多种方法测算时，本工具使用方法学推荐的方法，不提供推荐之外的多种测算方法。本工具尚未涉及激光雷达方法（待后续版本更新此方法）。</w:t>
      </w:r>
    </w:p>
    <w:p w14:paraId="3FD3F39C">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本工具只包括乔木林和竹子造林，未包括灌木林造林，项目碳库不包括灌木和草本层碳库。</w:t>
      </w:r>
    </w:p>
    <w:p w14:paraId="1A861A73">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default" w:ascii="Times New Roman" w:eastAsia="宋体"/>
          <w:sz w:val="24"/>
          <w:lang w:val="en-US" w:eastAsia="zh-CN"/>
        </w:rPr>
        <w:t>样本容量需要分层面积和碳储量数据，因此，把样本容量放在</w:t>
      </w:r>
      <w:r>
        <w:rPr>
          <w:rFonts w:hint="eastAsia" w:ascii="Times New Roman" w:eastAsia="宋体"/>
          <w:sz w:val="24"/>
          <w:lang w:val="en-US" w:eastAsia="zh-CN"/>
        </w:rPr>
        <w:t>碳汇量</w:t>
      </w:r>
      <w:r>
        <w:rPr>
          <w:rFonts w:hint="default" w:ascii="Times New Roman" w:eastAsia="宋体"/>
          <w:sz w:val="24"/>
          <w:lang w:val="en-US" w:eastAsia="zh-CN"/>
        </w:rPr>
        <w:t>预估模块中，</w:t>
      </w:r>
      <w:r>
        <w:rPr>
          <w:rFonts w:hint="eastAsia" w:ascii="Times New Roman" w:eastAsia="宋体"/>
          <w:sz w:val="24"/>
          <w:lang w:val="en-US" w:eastAsia="zh-CN"/>
        </w:rPr>
        <w:t>但样地布设工具另行制作。</w:t>
      </w:r>
    </w:p>
    <w:p w14:paraId="4C45881D">
      <w:pPr>
        <w:snapToGrid/>
        <w:spacing w:before="340" w:beforeAutospacing="0" w:after="330" w:afterAutospacing="0" w:line="578" w:lineRule="auto"/>
        <w:ind w:left="0" w:leftChars="0" w:right="0" w:rightChars="0" w:firstLine="0" w:firstLineChars="0"/>
        <w:jc w:val="center"/>
        <w:outlineLvl w:val="0"/>
        <w:rPr>
          <w:rFonts w:hint="eastAsia" w:ascii="Times New Roman" w:eastAsia="黑体"/>
          <w:b/>
          <w:sz w:val="36"/>
          <w:lang w:val="en-US" w:eastAsia="zh-CN"/>
        </w:rPr>
      </w:pPr>
      <w:bookmarkStart w:id="1" w:name="_Toc16618"/>
      <w:r>
        <w:rPr>
          <w:rFonts w:hint="eastAsia" w:ascii="Times New Roman" w:eastAsia="黑体"/>
          <w:b/>
          <w:sz w:val="36"/>
          <w:lang w:val="en-US" w:eastAsia="zh-CN"/>
        </w:rPr>
        <w:t>2  项目设置</w:t>
      </w:r>
      <w:bookmarkEnd w:id="1"/>
    </w:p>
    <w:p w14:paraId="2A3D1F6B">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本工具在项目设计阶段和实施阶段均需进行项目设置。</w:t>
      </w:r>
    </w:p>
    <w:p w14:paraId="00B20F7F">
      <w:pPr>
        <w:snapToGrid/>
        <w:spacing w:beforeAutospacing="0" w:afterAutospacing="0" w:line="288" w:lineRule="auto"/>
        <w:ind w:right="0" w:rightChars="0"/>
        <w:jc w:val="both"/>
      </w:pPr>
      <w:r>
        <w:drawing>
          <wp:inline distT="0" distB="0" distL="114300" distR="114300">
            <wp:extent cx="5271770" cy="2915920"/>
            <wp:effectExtent l="0" t="0" r="127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5271770" cy="2915920"/>
                    </a:xfrm>
                    <a:prstGeom prst="rect">
                      <a:avLst/>
                    </a:prstGeom>
                    <a:noFill/>
                    <a:ln>
                      <a:noFill/>
                    </a:ln>
                  </pic:spPr>
                </pic:pic>
              </a:graphicData>
            </a:graphic>
          </wp:inline>
        </w:drawing>
      </w:r>
    </w:p>
    <w:p w14:paraId="5C20259A">
      <w:pPr>
        <w:snapToGrid/>
        <w:spacing w:before="260" w:beforeAutospacing="0" w:after="260" w:afterAutospacing="0" w:line="416" w:lineRule="auto"/>
        <w:ind w:left="0" w:leftChars="0" w:right="0" w:rightChars="0" w:firstLine="0" w:firstLineChars="0"/>
        <w:jc w:val="left"/>
        <w:outlineLvl w:val="1"/>
        <w:rPr>
          <w:rFonts w:hint="default" w:ascii="Times New Roman" w:eastAsia="黑体"/>
          <w:b/>
          <w:sz w:val="30"/>
          <w:lang w:val="en-US" w:eastAsia="zh-CN"/>
        </w:rPr>
      </w:pPr>
      <w:bookmarkStart w:id="2" w:name="_Toc18082"/>
      <w:r>
        <w:rPr>
          <w:rFonts w:hint="eastAsia" w:ascii="Times New Roman" w:eastAsia="黑体"/>
          <w:b/>
          <w:sz w:val="30"/>
          <w:lang w:val="en-US" w:eastAsia="zh-CN"/>
        </w:rPr>
        <w:t>2.1  所在区域设计</w:t>
      </w:r>
      <w:bookmarkEnd w:id="2"/>
    </w:p>
    <w:p w14:paraId="06D2F636">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共有5个选择项：南平市、三明市、龙岩市、沿海内山县、其它县市区</w:t>
      </w:r>
    </w:p>
    <w:p w14:paraId="410ADF95">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其中：沿海内山县包括古田、屏南、仙游、永泰、永春、德化、平和、南靖、华安；其它县市区包括福建省除南平市、三明市、龙岩市等3个设区市和沿海内山县外的各县（市、区）。</w:t>
      </w:r>
    </w:p>
    <w:p w14:paraId="1C43668A">
      <w:pPr>
        <w:snapToGrid/>
        <w:spacing w:before="260" w:beforeAutospacing="0" w:after="260" w:afterAutospacing="0" w:line="416" w:lineRule="auto"/>
        <w:ind w:left="0" w:leftChars="0" w:right="0" w:rightChars="0" w:firstLine="0" w:firstLineChars="0"/>
        <w:jc w:val="left"/>
        <w:outlineLvl w:val="1"/>
        <w:rPr>
          <w:rFonts w:hint="default" w:ascii="Times New Roman" w:eastAsia="宋体"/>
          <w:sz w:val="24"/>
          <w:lang w:val="en-US" w:eastAsia="zh-CN"/>
        </w:rPr>
      </w:pPr>
      <w:bookmarkStart w:id="3" w:name="_Toc9936"/>
      <w:r>
        <w:rPr>
          <w:rFonts w:hint="eastAsia" w:ascii="Times New Roman" w:eastAsia="黑体"/>
          <w:b/>
          <w:sz w:val="30"/>
          <w:lang w:val="en-US" w:eastAsia="zh-CN"/>
        </w:rPr>
        <w:t>2.2  碳库与排放源</w:t>
      </w:r>
      <w:bookmarkEnd w:id="3"/>
    </w:p>
    <w:p w14:paraId="5D93A838">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各碳库一般按如下方式选择：</w:t>
      </w:r>
    </w:p>
    <w:tbl>
      <w:tblPr>
        <w:tblStyle w:val="6"/>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317"/>
        <w:gridCol w:w="1562"/>
        <w:gridCol w:w="829"/>
        <w:gridCol w:w="1031"/>
        <w:gridCol w:w="856"/>
        <w:gridCol w:w="1562"/>
        <w:gridCol w:w="1360"/>
      </w:tblGrid>
      <w:tr w14:paraId="590443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773" w:type="pct"/>
            <w:tcBorders>
              <w:top w:val="single" w:color="000000" w:sz="4" w:space="0"/>
              <w:left w:val="single" w:color="000000" w:sz="4" w:space="0"/>
              <w:bottom w:val="single" w:color="000000" w:sz="4" w:space="0"/>
              <w:right w:val="single" w:color="000000" w:sz="4" w:space="0"/>
            </w:tcBorders>
            <w:shd w:val="clear" w:color="auto" w:fill="D7D7D7"/>
            <w:vAlign w:val="center"/>
          </w:tcPr>
          <w:p w14:paraId="6E5C222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项目类型</w:t>
            </w:r>
          </w:p>
        </w:tc>
        <w:tc>
          <w:tcPr>
            <w:tcW w:w="916" w:type="pct"/>
            <w:tcBorders>
              <w:top w:val="single" w:color="000000" w:sz="4" w:space="0"/>
              <w:left w:val="single" w:color="000000" w:sz="4" w:space="0"/>
              <w:bottom w:val="single" w:color="000000" w:sz="4" w:space="0"/>
              <w:right w:val="single" w:color="000000" w:sz="4" w:space="0"/>
            </w:tcBorders>
            <w:shd w:val="clear" w:color="auto" w:fill="D7D7D7"/>
            <w:vAlign w:val="center"/>
          </w:tcPr>
          <w:p w14:paraId="6C02854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碳库</w:t>
            </w:r>
          </w:p>
        </w:tc>
        <w:tc>
          <w:tcPr>
            <w:tcW w:w="486" w:type="pct"/>
            <w:tcBorders>
              <w:top w:val="single" w:color="000000" w:sz="4" w:space="0"/>
              <w:left w:val="single" w:color="000000" w:sz="4" w:space="0"/>
              <w:bottom w:val="single" w:color="000000" w:sz="4" w:space="0"/>
              <w:right w:val="single" w:color="000000" w:sz="4" w:space="0"/>
            </w:tcBorders>
            <w:shd w:val="clear" w:color="auto" w:fill="D7D7D7"/>
            <w:vAlign w:val="center"/>
          </w:tcPr>
          <w:p w14:paraId="3DB21BB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造林</w:t>
            </w:r>
          </w:p>
        </w:tc>
        <w:tc>
          <w:tcPr>
            <w:tcW w:w="605" w:type="pct"/>
            <w:tcBorders>
              <w:top w:val="single" w:color="000000" w:sz="4" w:space="0"/>
              <w:left w:val="single" w:color="000000" w:sz="4" w:space="0"/>
              <w:bottom w:val="single" w:color="000000" w:sz="4" w:space="0"/>
              <w:right w:val="single" w:color="000000" w:sz="4" w:space="0"/>
            </w:tcBorders>
            <w:shd w:val="clear" w:color="auto" w:fill="D7D7D7"/>
            <w:vAlign w:val="center"/>
          </w:tcPr>
          <w:p w14:paraId="0ADF46D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一般森林经营</w:t>
            </w:r>
          </w:p>
        </w:tc>
        <w:tc>
          <w:tcPr>
            <w:tcW w:w="502" w:type="pct"/>
            <w:tcBorders>
              <w:top w:val="single" w:color="000000" w:sz="4" w:space="0"/>
              <w:left w:val="single" w:color="000000" w:sz="4" w:space="0"/>
              <w:bottom w:val="single" w:color="000000" w:sz="4" w:space="0"/>
              <w:right w:val="single" w:color="000000" w:sz="4" w:space="0"/>
            </w:tcBorders>
            <w:shd w:val="clear" w:color="auto" w:fill="D7D7D7"/>
            <w:vAlign w:val="center"/>
          </w:tcPr>
          <w:p w14:paraId="73EE242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毛竹经营</w:t>
            </w:r>
          </w:p>
        </w:tc>
        <w:tc>
          <w:tcPr>
            <w:tcW w:w="916" w:type="pct"/>
            <w:tcBorders>
              <w:top w:val="single" w:color="000000" w:sz="4" w:space="0"/>
              <w:left w:val="single" w:color="000000" w:sz="4" w:space="0"/>
              <w:bottom w:val="single" w:color="000000" w:sz="4" w:space="0"/>
              <w:right w:val="single" w:color="000000" w:sz="4" w:space="0"/>
            </w:tcBorders>
            <w:shd w:val="clear" w:color="auto" w:fill="D7D7D7"/>
            <w:vAlign w:val="center"/>
          </w:tcPr>
          <w:p w14:paraId="49CB015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保护和恢复森林植被</w:t>
            </w:r>
          </w:p>
        </w:tc>
        <w:tc>
          <w:tcPr>
            <w:tcW w:w="798" w:type="pct"/>
            <w:tcBorders>
              <w:top w:val="single" w:color="000000" w:sz="4" w:space="0"/>
              <w:left w:val="single" w:color="000000" w:sz="4" w:space="0"/>
              <w:bottom w:val="single" w:color="000000" w:sz="4" w:space="0"/>
              <w:right w:val="single" w:color="000000" w:sz="4" w:space="0"/>
            </w:tcBorders>
            <w:shd w:val="clear" w:color="auto" w:fill="D7D7D7"/>
            <w:vAlign w:val="center"/>
          </w:tcPr>
          <w:p w14:paraId="076C67C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自然保护区</w:t>
            </w:r>
          </w:p>
        </w:tc>
      </w:tr>
      <w:tr w14:paraId="41AF2A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77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C1E83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基准线情景</w:t>
            </w: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BA18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地上生物质</w:t>
            </w:r>
          </w:p>
        </w:tc>
        <w:tc>
          <w:tcPr>
            <w:tcW w:w="4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3C8D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6E97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5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4A7B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9197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是（生物质+采伐-木竹产品-再造林）</w:t>
            </w:r>
          </w:p>
        </w:tc>
        <w:tc>
          <w:tcPr>
            <w:tcW w:w="7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EBF1A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r>
      <w:tr w14:paraId="1365E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77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62CB2D">
            <w:pPr>
              <w:jc w:val="center"/>
              <w:rPr>
                <w:rFonts w:hint="eastAsia" w:ascii="宋体" w:hAnsi="宋体" w:eastAsia="宋体" w:cs="宋体"/>
                <w:i w:val="0"/>
                <w:iCs w:val="0"/>
                <w:color w:val="000000"/>
                <w:sz w:val="21"/>
                <w:szCs w:val="21"/>
                <w:u w:val="none"/>
              </w:rPr>
            </w:pP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330E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地下生物质</w:t>
            </w:r>
          </w:p>
        </w:tc>
        <w:tc>
          <w:tcPr>
            <w:tcW w:w="4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BE2E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C49D1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5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4F869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2D60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7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D95CD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r>
      <w:tr w14:paraId="08C9F6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77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0A4885">
            <w:pPr>
              <w:jc w:val="center"/>
              <w:rPr>
                <w:rFonts w:hint="eastAsia" w:ascii="宋体" w:hAnsi="宋体" w:eastAsia="宋体" w:cs="宋体"/>
                <w:i w:val="0"/>
                <w:iCs w:val="0"/>
                <w:color w:val="000000"/>
                <w:sz w:val="21"/>
                <w:szCs w:val="21"/>
                <w:u w:val="none"/>
              </w:rPr>
            </w:pP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AAA5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枯死木</w:t>
            </w:r>
          </w:p>
        </w:tc>
        <w:tc>
          <w:tcPr>
            <w:tcW w:w="4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BD7B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否</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DD72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5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09980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否</w:t>
            </w: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23337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7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26EC4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r>
      <w:tr w14:paraId="2161B1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77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3732A9">
            <w:pPr>
              <w:jc w:val="center"/>
              <w:rPr>
                <w:rFonts w:hint="eastAsia" w:ascii="宋体" w:hAnsi="宋体" w:eastAsia="宋体" w:cs="宋体"/>
                <w:i w:val="0"/>
                <w:iCs w:val="0"/>
                <w:color w:val="000000"/>
                <w:sz w:val="21"/>
                <w:szCs w:val="21"/>
                <w:u w:val="none"/>
              </w:rPr>
            </w:pP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10C6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枯落物</w:t>
            </w:r>
          </w:p>
        </w:tc>
        <w:tc>
          <w:tcPr>
            <w:tcW w:w="4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DE99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否</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EE98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5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D6E8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DC6C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7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78B52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r>
      <w:tr w14:paraId="40DDF7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77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5FF847">
            <w:pPr>
              <w:jc w:val="center"/>
              <w:rPr>
                <w:rFonts w:hint="eastAsia" w:ascii="宋体" w:hAnsi="宋体" w:eastAsia="宋体" w:cs="宋体"/>
                <w:i w:val="0"/>
                <w:iCs w:val="0"/>
                <w:color w:val="000000"/>
                <w:sz w:val="21"/>
                <w:szCs w:val="21"/>
                <w:u w:val="none"/>
              </w:rPr>
            </w:pP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F10DD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土壤有机碳</w:t>
            </w:r>
          </w:p>
        </w:tc>
        <w:tc>
          <w:tcPr>
            <w:tcW w:w="4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3AB4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否</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58B6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5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F8C2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5B98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7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62CE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r>
      <w:tr w14:paraId="6BCB2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77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B0A22B">
            <w:pPr>
              <w:jc w:val="center"/>
              <w:rPr>
                <w:rFonts w:hint="eastAsia" w:ascii="宋体" w:hAnsi="宋体" w:eastAsia="宋体" w:cs="宋体"/>
                <w:i w:val="0"/>
                <w:iCs w:val="0"/>
                <w:color w:val="000000"/>
                <w:sz w:val="21"/>
                <w:szCs w:val="21"/>
                <w:u w:val="none"/>
              </w:rPr>
            </w:pP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416A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木（竹）产品</w:t>
            </w:r>
          </w:p>
        </w:tc>
        <w:tc>
          <w:tcPr>
            <w:tcW w:w="4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1B74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否</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27BC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否</w:t>
            </w:r>
          </w:p>
        </w:tc>
        <w:tc>
          <w:tcPr>
            <w:tcW w:w="5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A369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10777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否（已在采伐中计算）</w:t>
            </w:r>
          </w:p>
        </w:tc>
        <w:tc>
          <w:tcPr>
            <w:tcW w:w="7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828A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否（不采伐）</w:t>
            </w:r>
          </w:p>
        </w:tc>
      </w:tr>
      <w:tr w14:paraId="6D6397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77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DC75F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项目情景</w:t>
            </w: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FD28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地上生物质</w:t>
            </w:r>
          </w:p>
        </w:tc>
        <w:tc>
          <w:tcPr>
            <w:tcW w:w="4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84051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60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8B672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50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9B3C9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9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C1A29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79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7D543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r>
      <w:tr w14:paraId="52CCC0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77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847840">
            <w:pPr>
              <w:jc w:val="center"/>
              <w:rPr>
                <w:rFonts w:hint="eastAsia" w:ascii="宋体" w:hAnsi="宋体" w:eastAsia="宋体" w:cs="宋体"/>
                <w:i w:val="0"/>
                <w:iCs w:val="0"/>
                <w:color w:val="000000"/>
                <w:sz w:val="21"/>
                <w:szCs w:val="21"/>
                <w:u w:val="none"/>
              </w:rPr>
            </w:pP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9439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地下生物质</w:t>
            </w:r>
          </w:p>
        </w:tc>
        <w:tc>
          <w:tcPr>
            <w:tcW w:w="4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185F05">
            <w:pPr>
              <w:jc w:val="center"/>
              <w:rPr>
                <w:rFonts w:hint="eastAsia" w:ascii="宋体" w:hAnsi="宋体" w:eastAsia="宋体" w:cs="宋体"/>
                <w:i w:val="0"/>
                <w:iCs w:val="0"/>
                <w:color w:val="000000"/>
                <w:sz w:val="21"/>
                <w:szCs w:val="21"/>
                <w:u w:val="none"/>
              </w:rPr>
            </w:pPr>
          </w:p>
        </w:tc>
        <w:tc>
          <w:tcPr>
            <w:tcW w:w="60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F5E918">
            <w:pPr>
              <w:jc w:val="center"/>
              <w:rPr>
                <w:rFonts w:hint="eastAsia" w:ascii="宋体" w:hAnsi="宋体" w:eastAsia="宋体" w:cs="宋体"/>
                <w:i w:val="0"/>
                <w:iCs w:val="0"/>
                <w:color w:val="000000"/>
                <w:sz w:val="21"/>
                <w:szCs w:val="21"/>
                <w:u w:val="none"/>
              </w:rPr>
            </w:pPr>
          </w:p>
        </w:tc>
        <w:tc>
          <w:tcPr>
            <w:tcW w:w="50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B247B2">
            <w:pPr>
              <w:jc w:val="center"/>
              <w:rPr>
                <w:rFonts w:hint="eastAsia" w:ascii="宋体" w:hAnsi="宋体" w:eastAsia="宋体" w:cs="宋体"/>
                <w:i w:val="0"/>
                <w:iCs w:val="0"/>
                <w:color w:val="000000"/>
                <w:sz w:val="21"/>
                <w:szCs w:val="21"/>
                <w:u w:val="none"/>
              </w:rPr>
            </w:pPr>
          </w:p>
        </w:tc>
        <w:tc>
          <w:tcPr>
            <w:tcW w:w="9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EA653F">
            <w:pPr>
              <w:jc w:val="center"/>
              <w:rPr>
                <w:rFonts w:hint="eastAsia" w:ascii="宋体" w:hAnsi="宋体" w:eastAsia="宋体" w:cs="宋体"/>
                <w:i w:val="0"/>
                <w:iCs w:val="0"/>
                <w:color w:val="000000"/>
                <w:sz w:val="21"/>
                <w:szCs w:val="21"/>
                <w:u w:val="none"/>
              </w:rPr>
            </w:pPr>
          </w:p>
        </w:tc>
        <w:tc>
          <w:tcPr>
            <w:tcW w:w="79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B0AF7C">
            <w:pPr>
              <w:jc w:val="center"/>
              <w:rPr>
                <w:rFonts w:hint="eastAsia" w:ascii="宋体" w:hAnsi="宋体" w:eastAsia="宋体" w:cs="宋体"/>
                <w:i w:val="0"/>
                <w:iCs w:val="0"/>
                <w:color w:val="000000"/>
                <w:sz w:val="21"/>
                <w:szCs w:val="21"/>
                <w:u w:val="none"/>
              </w:rPr>
            </w:pPr>
          </w:p>
        </w:tc>
      </w:tr>
      <w:tr w14:paraId="199698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77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AFF476">
            <w:pPr>
              <w:jc w:val="center"/>
              <w:rPr>
                <w:rFonts w:hint="eastAsia" w:ascii="宋体" w:hAnsi="宋体" w:eastAsia="宋体" w:cs="宋体"/>
                <w:i w:val="0"/>
                <w:iCs w:val="0"/>
                <w:color w:val="000000"/>
                <w:sz w:val="21"/>
                <w:szCs w:val="21"/>
                <w:u w:val="none"/>
              </w:rPr>
            </w:pP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2797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枯死木</w:t>
            </w:r>
          </w:p>
        </w:tc>
        <w:tc>
          <w:tcPr>
            <w:tcW w:w="4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1694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68EC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5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8677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否</w:t>
            </w: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7AE77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7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5A6F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r>
      <w:tr w14:paraId="269AA6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77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2E680C">
            <w:pPr>
              <w:jc w:val="center"/>
              <w:rPr>
                <w:rFonts w:hint="eastAsia" w:ascii="宋体" w:hAnsi="宋体" w:eastAsia="宋体" w:cs="宋体"/>
                <w:i w:val="0"/>
                <w:iCs w:val="0"/>
                <w:color w:val="000000"/>
                <w:sz w:val="21"/>
                <w:szCs w:val="21"/>
                <w:u w:val="none"/>
              </w:rPr>
            </w:pP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A866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枯落物</w:t>
            </w:r>
          </w:p>
        </w:tc>
        <w:tc>
          <w:tcPr>
            <w:tcW w:w="4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18B1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A399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5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3470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0023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7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3FF2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r>
      <w:tr w14:paraId="690354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77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938CD1">
            <w:pPr>
              <w:jc w:val="center"/>
              <w:rPr>
                <w:rFonts w:hint="eastAsia" w:ascii="宋体" w:hAnsi="宋体" w:eastAsia="宋体" w:cs="宋体"/>
                <w:i w:val="0"/>
                <w:iCs w:val="0"/>
                <w:color w:val="000000"/>
                <w:sz w:val="21"/>
                <w:szCs w:val="21"/>
                <w:u w:val="none"/>
              </w:rPr>
            </w:pP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C98B8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土壤有机碳</w:t>
            </w:r>
          </w:p>
        </w:tc>
        <w:tc>
          <w:tcPr>
            <w:tcW w:w="4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D203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EAFB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5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DB3C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06BD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7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7D144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r>
      <w:tr w14:paraId="08D688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77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F56538">
            <w:pPr>
              <w:jc w:val="center"/>
              <w:rPr>
                <w:rFonts w:hint="eastAsia" w:ascii="宋体" w:hAnsi="宋体" w:eastAsia="宋体" w:cs="宋体"/>
                <w:i w:val="0"/>
                <w:iCs w:val="0"/>
                <w:color w:val="000000"/>
                <w:sz w:val="21"/>
                <w:szCs w:val="21"/>
                <w:u w:val="none"/>
              </w:rPr>
            </w:pP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8F5F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木（竹）产品</w:t>
            </w:r>
          </w:p>
        </w:tc>
        <w:tc>
          <w:tcPr>
            <w:tcW w:w="4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53320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否</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3938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否</w:t>
            </w:r>
          </w:p>
        </w:tc>
        <w:tc>
          <w:tcPr>
            <w:tcW w:w="5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C3FA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是</w:t>
            </w:r>
          </w:p>
        </w:tc>
        <w:tc>
          <w:tcPr>
            <w:tcW w:w="9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4940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否</w:t>
            </w:r>
          </w:p>
        </w:tc>
        <w:tc>
          <w:tcPr>
            <w:tcW w:w="7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927C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否</w:t>
            </w:r>
          </w:p>
        </w:tc>
      </w:tr>
    </w:tbl>
    <w:p w14:paraId="17453B59">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在工具操作中，工具软件的碳库和碳源仅在毛竹经营时，木竹产品需要打勾，其他情形的项目均无需设置，按系统默认的选择。</w:t>
      </w:r>
    </w:p>
    <w:p w14:paraId="0C45C9BB">
      <w:pPr>
        <w:snapToGrid/>
        <w:spacing w:before="260" w:beforeAutospacing="0" w:after="260" w:afterAutospacing="0" w:line="416" w:lineRule="auto"/>
        <w:ind w:left="0" w:leftChars="0" w:right="0" w:rightChars="0" w:firstLine="0" w:firstLineChars="0"/>
        <w:jc w:val="left"/>
        <w:outlineLvl w:val="1"/>
        <w:rPr>
          <w:rFonts w:hint="default" w:ascii="Times New Roman" w:eastAsia="宋体"/>
          <w:sz w:val="24"/>
          <w:lang w:val="en-US" w:eastAsia="zh-CN"/>
        </w:rPr>
      </w:pPr>
      <w:bookmarkStart w:id="4" w:name="_Toc32052"/>
      <w:r>
        <w:rPr>
          <w:rFonts w:hint="eastAsia" w:ascii="Times New Roman" w:eastAsia="黑体"/>
          <w:b/>
          <w:sz w:val="30"/>
          <w:lang w:val="en-US" w:eastAsia="zh-CN"/>
        </w:rPr>
        <w:t>2.3  木竹产品流向与比例</w:t>
      </w:r>
      <w:bookmarkEnd w:id="4"/>
    </w:p>
    <w:p w14:paraId="6359B456">
      <w:pPr>
        <w:snapToGrid/>
        <w:spacing w:beforeAutospacing="0" w:afterAutospacing="0" w:line="288" w:lineRule="auto"/>
        <w:ind w:left="0" w:leftChars="0" w:right="0" w:rightChars="0" w:firstLine="482" w:firstLineChars="0"/>
        <w:jc w:val="both"/>
        <w:rPr>
          <w:rFonts w:hint="default" w:ascii="Times New Roman" w:eastAsia="宋体"/>
          <w:sz w:val="24"/>
          <w:lang w:val="en-US" w:eastAsia="zh-CN"/>
        </w:rPr>
      </w:pPr>
      <w:r>
        <w:rPr>
          <w:rFonts w:hint="eastAsia" w:ascii="Times New Roman" w:eastAsia="宋体"/>
          <w:sz w:val="24"/>
          <w:lang w:val="en-US" w:eastAsia="zh-CN"/>
        </w:rPr>
        <w:t>木竹产品的流向与比例调查后，填入相应的栏目，原则上木竹产品各流向的比例之和需为100%，但因竹子存在废料利用，允许竹炭等竹化学制品中另外追加不超过20的比例（即不超过废料所占的比例）。</w:t>
      </w:r>
    </w:p>
    <w:p w14:paraId="65F609FA">
      <w:pPr>
        <w:snapToGrid/>
        <w:spacing w:before="260" w:beforeAutospacing="0" w:after="260" w:afterAutospacing="0" w:line="416" w:lineRule="auto"/>
        <w:ind w:left="0" w:leftChars="0" w:right="0" w:rightChars="0" w:firstLine="0" w:firstLineChars="0"/>
        <w:jc w:val="left"/>
        <w:outlineLvl w:val="1"/>
        <w:rPr>
          <w:rFonts w:hint="eastAsia" w:ascii="Times New Roman" w:eastAsia="黑体"/>
          <w:b/>
          <w:sz w:val="30"/>
          <w:lang w:val="en-US" w:eastAsia="zh-CN"/>
        </w:rPr>
      </w:pPr>
      <w:bookmarkStart w:id="5" w:name="_Toc29805"/>
      <w:r>
        <w:rPr>
          <w:rFonts w:hint="eastAsia" w:ascii="Times New Roman" w:eastAsia="黑体"/>
          <w:b/>
          <w:sz w:val="30"/>
          <w:lang w:val="en-US" w:eastAsia="zh-CN"/>
        </w:rPr>
        <w:t>2.4  碳层划分一致性</w:t>
      </w:r>
      <w:bookmarkEnd w:id="5"/>
    </w:p>
    <w:p w14:paraId="2F79F82E">
      <w:pPr>
        <w:snapToGrid/>
        <w:spacing w:beforeAutospacing="0" w:afterAutospacing="0" w:line="288" w:lineRule="auto"/>
        <w:ind w:left="0" w:leftChars="0" w:right="0" w:rightChars="0" w:firstLine="482" w:firstLineChars="0"/>
        <w:jc w:val="both"/>
        <w:rPr>
          <w:rFonts w:hint="default" w:ascii="Times New Roman" w:eastAsia="宋体"/>
          <w:sz w:val="24"/>
          <w:lang w:val="en-US" w:eastAsia="zh-CN"/>
        </w:rPr>
      </w:pPr>
      <w:r>
        <w:rPr>
          <w:rFonts w:hint="eastAsia" w:ascii="Times New Roman" w:eastAsia="宋体"/>
          <w:sz w:val="24"/>
          <w:lang w:val="en-US" w:eastAsia="zh-CN"/>
        </w:rPr>
        <w:t>碳汇项目乔木林在碳层划分同质性较高时，将此项目打勾，可以只测定胸径，不测定树高。竹子经营项目因方法未设计竹高参数（二元方程存在较大误差），此项目均打勾。</w:t>
      </w:r>
    </w:p>
    <w:p w14:paraId="34AC7CE6">
      <w:pPr>
        <w:snapToGrid/>
        <w:spacing w:before="340" w:beforeAutospacing="0" w:after="330" w:afterAutospacing="0" w:line="578" w:lineRule="auto"/>
        <w:ind w:left="0" w:leftChars="0" w:right="0" w:rightChars="0" w:firstLine="0" w:firstLineChars="0"/>
        <w:jc w:val="center"/>
        <w:outlineLvl w:val="0"/>
        <w:rPr>
          <w:rFonts w:hint="default" w:ascii="Times New Roman" w:eastAsia="黑体"/>
          <w:b/>
          <w:sz w:val="36"/>
          <w:lang w:val="en-US" w:eastAsia="zh-CN"/>
        </w:rPr>
      </w:pPr>
      <w:bookmarkStart w:id="6" w:name="_Toc16897"/>
      <w:r>
        <w:rPr>
          <w:rFonts w:hint="eastAsia" w:ascii="Times New Roman" w:eastAsia="黑体"/>
          <w:b/>
          <w:sz w:val="36"/>
          <w:lang w:val="en-US" w:eastAsia="zh-CN"/>
        </w:rPr>
        <w:t>3  设计估算</w:t>
      </w:r>
      <w:bookmarkEnd w:id="6"/>
    </w:p>
    <w:p w14:paraId="69E9AA12">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此界面为测算设计阶段碳汇量估算和样本容量估计而设定。</w:t>
      </w:r>
    </w:p>
    <w:p w14:paraId="71267BBF">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界面有3个按钮：导入项目设计数据、碳汇量预估、导出Excel表格，以及若干设置项目。</w:t>
      </w:r>
    </w:p>
    <w:p w14:paraId="033F9FC4">
      <w:pPr>
        <w:snapToGrid/>
        <w:spacing w:beforeAutospacing="0" w:afterAutospacing="0" w:line="288" w:lineRule="auto"/>
        <w:ind w:right="0" w:rightChars="0"/>
        <w:jc w:val="both"/>
        <w:rPr>
          <w:rFonts w:hint="default" w:ascii="Times New Roman" w:eastAsia="宋体"/>
          <w:sz w:val="24"/>
          <w:lang w:val="en-US" w:eastAsia="zh-CN"/>
        </w:rPr>
      </w:pPr>
      <w:r>
        <w:drawing>
          <wp:inline distT="0" distB="0" distL="114300" distR="114300">
            <wp:extent cx="5266690" cy="2972435"/>
            <wp:effectExtent l="0" t="0" r="6350" b="146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6"/>
                    <a:stretch>
                      <a:fillRect/>
                    </a:stretch>
                  </pic:blipFill>
                  <pic:spPr>
                    <a:xfrm>
                      <a:off x="0" y="0"/>
                      <a:ext cx="5266690" cy="2972435"/>
                    </a:xfrm>
                    <a:prstGeom prst="rect">
                      <a:avLst/>
                    </a:prstGeom>
                    <a:noFill/>
                    <a:ln>
                      <a:noFill/>
                    </a:ln>
                  </pic:spPr>
                </pic:pic>
              </a:graphicData>
            </a:graphic>
          </wp:inline>
        </w:drawing>
      </w:r>
    </w:p>
    <w:p w14:paraId="60D3C508">
      <w:pPr>
        <w:snapToGrid/>
        <w:spacing w:before="260" w:beforeAutospacing="0" w:after="260" w:afterAutospacing="0" w:line="416" w:lineRule="auto"/>
        <w:ind w:left="0" w:leftChars="0" w:right="0" w:rightChars="0" w:firstLine="0" w:firstLineChars="0"/>
        <w:jc w:val="left"/>
        <w:outlineLvl w:val="1"/>
        <w:rPr>
          <w:rFonts w:hint="default" w:ascii="Times New Roman" w:eastAsia="黑体"/>
          <w:b/>
          <w:sz w:val="30"/>
          <w:lang w:val="en-US" w:eastAsia="zh-CN"/>
        </w:rPr>
      </w:pPr>
      <w:bookmarkStart w:id="7" w:name="_Toc6203"/>
      <w:r>
        <w:rPr>
          <w:rFonts w:hint="eastAsia" w:ascii="Times New Roman" w:eastAsia="黑体"/>
          <w:b/>
          <w:sz w:val="30"/>
          <w:lang w:val="en-US" w:eastAsia="zh-CN"/>
        </w:rPr>
        <w:t>3.1  相关设置</w:t>
      </w:r>
      <w:bookmarkEnd w:id="7"/>
    </w:p>
    <w:p w14:paraId="5C027F58">
      <w:pPr>
        <w:snapToGrid/>
        <w:spacing w:beforeAutospacing="0" w:afterAutospacing="0" w:line="288" w:lineRule="auto"/>
        <w:ind w:right="0" w:rightChars="0"/>
        <w:jc w:val="both"/>
        <w:outlineLvl w:val="2"/>
        <w:rPr>
          <w:rFonts w:hint="default" w:ascii="Times New Roman" w:eastAsia="宋体"/>
          <w:b/>
          <w:bCs/>
          <w:sz w:val="24"/>
          <w:lang w:val="en-US" w:eastAsia="zh-CN"/>
        </w:rPr>
      </w:pPr>
      <w:r>
        <w:rPr>
          <w:rFonts w:hint="eastAsia" w:ascii="Times New Roman" w:eastAsia="宋体"/>
          <w:b/>
          <w:bCs/>
          <w:sz w:val="24"/>
          <w:lang w:val="en-US" w:eastAsia="zh-CN"/>
        </w:rPr>
        <w:t>3.1.1 项目计入期与起止时间</w:t>
      </w:r>
    </w:p>
    <w:p w14:paraId="713EB0A3">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项目开始时间（首次造林时间）：造林碳汇项目需要设置首次造林时间，森林经营及保护和恢复植被项目为设计项目开始时间，项目在2020年9月22日以后开始的需要设置。</w:t>
      </w:r>
    </w:p>
    <w:p w14:paraId="3957F59F">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项目计入期：根据方法学要求，每6年为一个周期，但项目设计时，可设定多个周期，且不限定计入期长短。打算监测多个周期的，可以将项目计入期设置为一个较长的时间，但需要考虑在计入期内是不采伐林木的。</w:t>
      </w:r>
    </w:p>
    <w:p w14:paraId="555E253B">
      <w:pPr>
        <w:snapToGrid/>
        <w:spacing w:beforeAutospacing="0" w:afterAutospacing="0" w:line="288" w:lineRule="auto"/>
        <w:ind w:left="0" w:leftChars="0" w:right="0" w:rightChars="0" w:firstLine="482" w:firstLineChars="0"/>
        <w:jc w:val="both"/>
        <w:rPr>
          <w:rFonts w:hint="default" w:ascii="Times New Roman" w:eastAsia="宋体"/>
          <w:sz w:val="24"/>
          <w:lang w:val="en-US" w:eastAsia="zh-CN"/>
        </w:rPr>
      </w:pPr>
      <w:r>
        <w:rPr>
          <w:rFonts w:hint="eastAsia" w:ascii="Times New Roman" w:eastAsia="宋体"/>
          <w:sz w:val="24"/>
          <w:lang w:val="en-US" w:eastAsia="zh-CN"/>
        </w:rPr>
        <w:t>项目终止时间：无需设定，系统自动计算。项目开始时间在2020年9月22日以前的，从2020年9月22日开始计算，否则，从项目开始时间起计算。</w:t>
      </w:r>
    </w:p>
    <w:p w14:paraId="0E92F750">
      <w:pPr>
        <w:snapToGrid/>
        <w:spacing w:before="260" w:beforeAutospacing="0" w:after="260" w:afterAutospacing="0" w:line="416" w:lineRule="auto"/>
        <w:ind w:left="0" w:leftChars="0" w:right="0" w:rightChars="0" w:firstLine="0" w:firstLineChars="0"/>
        <w:jc w:val="left"/>
        <w:outlineLvl w:val="2"/>
        <w:rPr>
          <w:rFonts w:hint="default" w:ascii="Times New Roman" w:eastAsia="黑体"/>
          <w:b/>
          <w:sz w:val="30"/>
          <w:lang w:val="en-US" w:eastAsia="zh-CN"/>
        </w:rPr>
      </w:pPr>
      <w:r>
        <w:rPr>
          <w:rFonts w:hint="eastAsia" w:ascii="Times New Roman" w:eastAsia="宋体"/>
          <w:b/>
          <w:bCs/>
          <w:sz w:val="24"/>
          <w:lang w:val="en-US" w:eastAsia="zh-CN"/>
        </w:rPr>
        <w:t>3.1.2 生物量测算方法</w:t>
      </w:r>
    </w:p>
    <w:p w14:paraId="792D171B">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生物量测算方法有3种，根据方法学要求，项目设计和监测同步的，3种方法均需计算，设计文件取预估生物量最接近项目样地监测生物量的方法；项目设计在项目监测之前（以设计文件是否已审定为判断依据）的，使用立地质量指数法+福建一元方程。不允许挑选有利于监测结果的方法。</w:t>
      </w:r>
    </w:p>
    <w:p w14:paraId="189474EB">
      <w:pPr>
        <w:snapToGrid/>
        <w:spacing w:before="260" w:beforeAutospacing="0" w:after="260" w:afterAutospacing="0" w:line="416" w:lineRule="auto"/>
        <w:ind w:left="0" w:leftChars="0" w:right="0" w:rightChars="0" w:firstLine="0" w:firstLineChars="0"/>
        <w:jc w:val="left"/>
        <w:outlineLvl w:val="1"/>
        <w:rPr>
          <w:rFonts w:hint="eastAsia" w:ascii="Times New Roman" w:eastAsia="黑体"/>
          <w:b/>
          <w:sz w:val="30"/>
          <w:lang w:val="en-US" w:eastAsia="zh-CN"/>
        </w:rPr>
      </w:pPr>
      <w:bookmarkStart w:id="8" w:name="_Toc3741"/>
      <w:r>
        <w:rPr>
          <w:rFonts w:hint="eastAsia" w:ascii="Times New Roman" w:eastAsia="黑体"/>
          <w:b/>
          <w:sz w:val="30"/>
          <w:lang w:val="en-US" w:eastAsia="zh-CN"/>
        </w:rPr>
        <w:t>3.2  导入项目设计数据</w:t>
      </w:r>
      <w:bookmarkEnd w:id="8"/>
    </w:p>
    <w:p w14:paraId="69BDFB55">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导入的数据格式需为Dbase3（.dbf）格式，导入的数据为项目面状图的属性表。</w:t>
      </w:r>
    </w:p>
    <w:p w14:paraId="2DDE88AA">
      <w:pPr>
        <w:snapToGrid/>
        <w:spacing w:beforeAutospacing="0" w:afterAutospacing="0" w:line="288" w:lineRule="auto"/>
        <w:ind w:left="0" w:leftChars="0" w:right="0" w:rightChars="0" w:firstLine="482" w:firstLineChars="0"/>
        <w:jc w:val="both"/>
        <w:rPr>
          <w:rFonts w:hint="default" w:ascii="Times New Roman" w:eastAsia="宋体"/>
          <w:sz w:val="24"/>
          <w:lang w:val="en-US" w:eastAsia="zh-CN"/>
        </w:rPr>
      </w:pPr>
      <w:r>
        <w:rPr>
          <w:rFonts w:hint="eastAsia" w:ascii="Times New Roman" w:eastAsia="宋体"/>
          <w:sz w:val="24"/>
          <w:lang w:val="en-US" w:eastAsia="zh-CN"/>
        </w:rPr>
        <w:t>导入的数据按每个小班一条记录编辑，小班面积要正确。</w:t>
      </w:r>
    </w:p>
    <w:p w14:paraId="074A78B1">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导入的本工具的DBF数据至少包含6个字段并已赋值：碳层号（TC）、图斑号（TBH）、图斑面积（ZL_MJ）、种植年度（ZL_ND）、优势树种（ZL_YSSZ）、树种组成（ZL_SZZC）、立地质量等级（LDZLDJ）,每公顷林木株数（ZL_MD），保护和恢复植被项目涉及木材采伐和再造林，因此还需增加2个字段：林种（LinZhong）伐后再造林树种组成（RG_SZZC）。</w:t>
      </w:r>
    </w:p>
    <w:p w14:paraId="315C3C75">
      <w:pPr>
        <w:snapToGrid/>
        <w:spacing w:beforeAutospacing="0" w:afterAutospacing="0" w:line="288" w:lineRule="auto"/>
        <w:ind w:left="0" w:leftChars="0" w:right="0" w:rightChars="0" w:firstLine="482" w:firstLineChars="0"/>
        <w:jc w:val="both"/>
        <w:rPr>
          <w:rFonts w:hint="default" w:ascii="Times New Roman" w:eastAsia="宋体"/>
          <w:sz w:val="24"/>
          <w:lang w:val="en-US" w:eastAsia="zh-CN"/>
        </w:rPr>
      </w:pPr>
      <w:r>
        <w:rPr>
          <w:rFonts w:hint="eastAsia" w:ascii="Times New Roman" w:eastAsia="宋体"/>
          <w:sz w:val="24"/>
          <w:lang w:val="en-US" w:eastAsia="zh-CN"/>
        </w:rPr>
        <w:t>其中森林经营及保护和恢复植被种植年度的计算方法如下：假设使用2020年森林资源档案的小班林龄=19，则NL_ND=2020-19+1。</w:t>
      </w:r>
    </w:p>
    <w:p w14:paraId="65E30632">
      <w:pPr>
        <w:snapToGrid/>
        <w:spacing w:beforeAutospacing="0" w:afterAutospacing="0" w:line="288" w:lineRule="auto"/>
        <w:ind w:right="0" w:rightChars="0"/>
        <w:jc w:val="both"/>
        <w:outlineLvl w:val="2"/>
        <w:rPr>
          <w:rFonts w:hint="default" w:ascii="Times New Roman" w:eastAsia="宋体"/>
          <w:b/>
          <w:bCs/>
          <w:sz w:val="24"/>
          <w:lang w:val="en-US" w:eastAsia="zh-CN"/>
        </w:rPr>
      </w:pPr>
      <w:r>
        <w:rPr>
          <w:rFonts w:hint="eastAsia" w:ascii="Times New Roman" w:eastAsia="宋体"/>
          <w:b/>
          <w:bCs/>
          <w:sz w:val="24"/>
          <w:lang w:val="en-US" w:eastAsia="zh-CN"/>
        </w:rPr>
        <w:t>3.2.1 数据生产</w:t>
      </w:r>
    </w:p>
    <w:p w14:paraId="32CA075F">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b/>
          <w:bCs/>
          <w:sz w:val="24"/>
          <w:lang w:val="en-US" w:eastAsia="zh-CN"/>
        </w:rPr>
        <w:t>1）使用VFP等数据库程序。</w:t>
      </w:r>
      <w:r>
        <w:rPr>
          <w:rFonts w:hint="eastAsia" w:ascii="Times New Roman" w:eastAsia="宋体"/>
          <w:sz w:val="24"/>
          <w:lang w:val="en-US" w:eastAsia="zh-CN"/>
        </w:rPr>
        <w:t>可以在本工具提供的.dbf范本中填写数据：</w:t>
      </w:r>
    </w:p>
    <w:p w14:paraId="30290B24">
      <w:pPr>
        <w:snapToGrid/>
        <w:spacing w:beforeAutospacing="0" w:afterAutospacing="0" w:line="288" w:lineRule="auto"/>
        <w:ind w:left="0" w:leftChars="0" w:right="0" w:rightChars="0" w:firstLine="482" w:firstLineChars="0"/>
        <w:jc w:val="both"/>
      </w:pPr>
      <w:r>
        <w:drawing>
          <wp:inline distT="0" distB="0" distL="114300" distR="114300">
            <wp:extent cx="5271135" cy="2769235"/>
            <wp:effectExtent l="0" t="0" r="1905" b="444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7"/>
                    <a:stretch>
                      <a:fillRect/>
                    </a:stretch>
                  </pic:blipFill>
                  <pic:spPr>
                    <a:xfrm>
                      <a:off x="0" y="0"/>
                      <a:ext cx="5271135" cy="2769235"/>
                    </a:xfrm>
                    <a:prstGeom prst="rect">
                      <a:avLst/>
                    </a:prstGeom>
                    <a:noFill/>
                    <a:ln>
                      <a:noFill/>
                    </a:ln>
                  </pic:spPr>
                </pic:pic>
              </a:graphicData>
            </a:graphic>
          </wp:inline>
        </w:drawing>
      </w:r>
    </w:p>
    <w:p w14:paraId="6417D57D">
      <w:pPr>
        <w:snapToGrid/>
        <w:spacing w:beforeAutospacing="0" w:afterAutospacing="0" w:line="288" w:lineRule="auto"/>
        <w:ind w:left="0" w:leftChars="0" w:right="0" w:rightChars="0" w:firstLine="482" w:firstLineChars="0"/>
        <w:jc w:val="both"/>
        <w:rPr>
          <w:rFonts w:hint="eastAsia"/>
          <w:lang w:val="en-US" w:eastAsia="zh-CN"/>
        </w:rPr>
      </w:pPr>
      <w:r>
        <w:rPr>
          <w:rFonts w:hint="eastAsia"/>
          <w:lang w:val="en-US" w:eastAsia="zh-CN"/>
        </w:rPr>
        <w:t>在改变结构等操作时，需使用以下命令将整理后的表格转为</w:t>
      </w:r>
      <w:r>
        <w:rPr>
          <w:rFonts w:hint="eastAsia" w:ascii="Times New Roman" w:eastAsia="宋体"/>
          <w:sz w:val="24"/>
          <w:lang w:val="en-US" w:eastAsia="zh-CN"/>
        </w:rPr>
        <w:t>Dbase3文件格式</w:t>
      </w:r>
      <w:r>
        <w:rPr>
          <w:rFonts w:hint="eastAsia"/>
          <w:lang w:val="en-US" w:eastAsia="zh-CN"/>
        </w:rPr>
        <w:t>：</w:t>
      </w:r>
    </w:p>
    <w:p w14:paraId="3E2D7E2B">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Copy to 一般经营.dbf type fopx</w:t>
      </w:r>
    </w:p>
    <w:p w14:paraId="75DC4B3E">
      <w:pPr>
        <w:snapToGrid/>
        <w:spacing w:beforeAutospacing="0" w:afterAutospacing="0" w:line="288" w:lineRule="auto"/>
        <w:ind w:left="0" w:leftChars="0" w:right="0" w:rightChars="0" w:firstLine="482" w:firstLineChars="0"/>
        <w:jc w:val="both"/>
        <w:rPr>
          <w:rFonts w:hint="eastAsia" w:ascii="Times New Roman" w:eastAsia="宋体"/>
          <w:b/>
          <w:bCs/>
          <w:sz w:val="24"/>
          <w:lang w:val="en-US" w:eastAsia="zh-CN"/>
        </w:rPr>
      </w:pPr>
      <w:r>
        <w:rPr>
          <w:rFonts w:hint="eastAsia" w:ascii="Times New Roman" w:eastAsia="宋体"/>
          <w:b/>
          <w:bCs/>
          <w:sz w:val="24"/>
          <w:lang w:val="en-US" w:eastAsia="zh-CN"/>
        </w:rPr>
        <w:t>2）使用EXCEL等电子表格编写的数据转换为Dbase3文件的几个方法。</w:t>
      </w:r>
    </w:p>
    <w:p w14:paraId="40D79ACF">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a）可以将电子表格中编辑的数据（涉及小数点的，需要在单元格格式中确定小数点的位数，否则将导出为整数）选择需要导出的数据块，从文件菜单中另存为Dbase格式（文件类型选择：Dbase文件（*.dbf））：</w:t>
      </w:r>
    </w:p>
    <w:p w14:paraId="2E03184E">
      <w:pPr>
        <w:snapToGrid/>
        <w:spacing w:beforeAutospacing="0" w:afterAutospacing="0" w:line="288" w:lineRule="auto"/>
        <w:ind w:left="0" w:leftChars="0" w:right="0" w:rightChars="0" w:firstLine="482" w:firstLineChars="0"/>
        <w:jc w:val="both"/>
        <w:rPr>
          <w:rFonts w:hint="default" w:ascii="Times New Roman" w:eastAsia="宋体"/>
          <w:sz w:val="24"/>
          <w:lang w:val="en-US" w:eastAsia="zh-CN"/>
        </w:rPr>
      </w:pPr>
      <w:r>
        <w:drawing>
          <wp:inline distT="0" distB="0" distL="114300" distR="114300">
            <wp:extent cx="5269865" cy="3014980"/>
            <wp:effectExtent l="0" t="0" r="3175" b="254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8"/>
                    <a:stretch>
                      <a:fillRect/>
                    </a:stretch>
                  </pic:blipFill>
                  <pic:spPr>
                    <a:xfrm>
                      <a:off x="0" y="0"/>
                      <a:ext cx="5269865" cy="3014980"/>
                    </a:xfrm>
                    <a:prstGeom prst="rect">
                      <a:avLst/>
                    </a:prstGeom>
                    <a:noFill/>
                    <a:ln>
                      <a:noFill/>
                    </a:ln>
                  </pic:spPr>
                </pic:pic>
              </a:graphicData>
            </a:graphic>
          </wp:inline>
        </w:drawing>
      </w:r>
    </w:p>
    <w:p w14:paraId="19ECF701">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此DBF文件还不是Dbase3文件,需要在VFP中转为Dbase3文件，命令为：</w:t>
      </w:r>
    </w:p>
    <w:p w14:paraId="4F5A5BBF">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Copy to 一般经营.dbf type fopx</w:t>
      </w:r>
    </w:p>
    <w:p w14:paraId="1DD3BF3A">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使用其它数据库文件转也可以。</w:t>
      </w:r>
    </w:p>
    <w:p w14:paraId="5568169A">
      <w:pPr>
        <w:snapToGrid/>
        <w:spacing w:beforeAutospacing="0" w:afterAutospacing="0" w:line="288" w:lineRule="auto"/>
        <w:ind w:left="0" w:leftChars="0" w:right="0" w:rightChars="0" w:firstLine="482" w:firstLineChars="0"/>
        <w:jc w:val="both"/>
        <w:rPr>
          <w:rFonts w:hint="default" w:ascii="Times New Roman" w:eastAsia="宋体"/>
          <w:sz w:val="24"/>
          <w:lang w:val="en-US" w:eastAsia="zh-CN"/>
        </w:rPr>
      </w:pPr>
      <w:r>
        <w:rPr>
          <w:rFonts w:hint="eastAsia" w:ascii="Times New Roman" w:eastAsia="宋体"/>
          <w:sz w:val="24"/>
          <w:lang w:val="en-US" w:eastAsia="zh-CN"/>
        </w:rPr>
        <w:t>b）电子表格编辑完成后，也可以使用电子表格打开.dbf样表。把数据复制到.dbf样表中。</w:t>
      </w:r>
    </w:p>
    <w:p w14:paraId="742527A7">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c)将电子表格数据导入到ZLTH.mdb数据库中：将电子表格归整为行列式，导入到ZLTH.mdb数据库（需安装ACCESS97-2003），然后表相应的列复制到“项目设计表”中。</w:t>
      </w:r>
    </w:p>
    <w:p w14:paraId="79C77DF4">
      <w:pPr>
        <w:snapToGrid/>
        <w:spacing w:beforeAutospacing="0" w:afterAutospacing="0" w:line="288" w:lineRule="auto"/>
        <w:ind w:left="0" w:leftChars="0" w:right="0" w:rightChars="0" w:firstLine="482" w:firstLineChars="0"/>
        <w:jc w:val="both"/>
        <w:rPr>
          <w:rFonts w:hint="default" w:ascii="Times New Roman" w:eastAsia="宋体"/>
          <w:sz w:val="24"/>
          <w:lang w:val="en-US" w:eastAsia="zh-CN"/>
        </w:rPr>
      </w:pPr>
      <w:r>
        <w:rPr>
          <w:rFonts w:hint="eastAsia" w:ascii="Times New Roman" w:eastAsia="宋体"/>
          <w:sz w:val="24"/>
          <w:lang w:val="en-US" w:eastAsia="zh-CN"/>
        </w:rPr>
        <w:t>d)使用ArcGIS转格式。将电子表格归整为行列式，导入到ArcGIS，再从ArcGIS导出为Dbase3格式。</w:t>
      </w:r>
    </w:p>
    <w:p w14:paraId="7C01D2AA">
      <w:pPr>
        <w:snapToGrid/>
        <w:spacing w:beforeAutospacing="0" w:afterAutospacing="0" w:line="288" w:lineRule="auto"/>
        <w:ind w:right="0" w:rightChars="0"/>
        <w:jc w:val="both"/>
        <w:outlineLvl w:val="2"/>
        <w:rPr>
          <w:rFonts w:hint="default" w:ascii="Times New Roman" w:eastAsia="宋体"/>
          <w:b/>
          <w:bCs/>
          <w:sz w:val="24"/>
          <w:lang w:val="en-US" w:eastAsia="zh-CN"/>
        </w:rPr>
      </w:pPr>
      <w:r>
        <w:rPr>
          <w:rFonts w:hint="eastAsia" w:ascii="Times New Roman" w:eastAsia="宋体"/>
          <w:b/>
          <w:bCs/>
          <w:sz w:val="24"/>
          <w:lang w:val="en-US" w:eastAsia="zh-CN"/>
        </w:rPr>
        <w:t>3.2.2 数据导入</w:t>
      </w:r>
    </w:p>
    <w:p w14:paraId="36A4FE23">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工具在导入过程中会对导入的各个字段进行质量检验，尤其是树种字段，必须是《福建省森林资源规划设计调查技术规定》中罗列的树种。未识别的树种工具会作出提示，需要导入的DBF原始数据中修改完善后再次导入。直至没有提未错误为止。</w:t>
      </w:r>
    </w:p>
    <w:p w14:paraId="22B8E09F">
      <w:pPr>
        <w:snapToGrid/>
        <w:spacing w:beforeAutospacing="0" w:afterAutospacing="0" w:line="288" w:lineRule="auto"/>
        <w:ind w:right="0" w:rightChars="0"/>
        <w:jc w:val="both"/>
        <w:rPr>
          <w:rFonts w:hint="eastAsia" w:ascii="Times New Roman" w:eastAsia="宋体"/>
          <w:sz w:val="24"/>
          <w:lang w:val="en-US" w:eastAsia="zh-CN"/>
        </w:rPr>
      </w:pPr>
      <w:r>
        <w:drawing>
          <wp:inline distT="0" distB="0" distL="114300" distR="114300">
            <wp:extent cx="5544185" cy="3564255"/>
            <wp:effectExtent l="0" t="0" r="3175" b="1905"/>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9"/>
                    <a:stretch>
                      <a:fillRect/>
                    </a:stretch>
                  </pic:blipFill>
                  <pic:spPr>
                    <a:xfrm>
                      <a:off x="0" y="0"/>
                      <a:ext cx="5544185" cy="3564255"/>
                    </a:xfrm>
                    <a:prstGeom prst="rect">
                      <a:avLst/>
                    </a:prstGeom>
                    <a:noFill/>
                    <a:ln>
                      <a:noFill/>
                    </a:ln>
                  </pic:spPr>
                </pic:pic>
              </a:graphicData>
            </a:graphic>
          </wp:inline>
        </w:drawing>
      </w:r>
    </w:p>
    <w:p w14:paraId="7168A0E3">
      <w:pPr>
        <w:ind w:left="0" w:leftChars="0" w:right="0" w:rightChars="0" w:firstLine="0" w:firstLineChars="0"/>
        <w:jc w:val="both"/>
      </w:pPr>
    </w:p>
    <w:p w14:paraId="3104D867">
      <w:pPr>
        <w:snapToGrid/>
        <w:spacing w:before="260" w:beforeAutospacing="0" w:after="260" w:afterAutospacing="0" w:line="416" w:lineRule="auto"/>
        <w:ind w:left="0" w:leftChars="0" w:right="0" w:rightChars="0" w:firstLine="0" w:firstLineChars="0"/>
        <w:jc w:val="left"/>
        <w:outlineLvl w:val="1"/>
        <w:rPr>
          <w:rFonts w:hint="default" w:ascii="Times New Roman" w:eastAsia="黑体"/>
          <w:b/>
          <w:sz w:val="30"/>
          <w:lang w:val="en-US" w:eastAsia="zh-CN"/>
        </w:rPr>
      </w:pPr>
      <w:bookmarkStart w:id="9" w:name="_Toc24178"/>
      <w:r>
        <w:rPr>
          <w:rFonts w:hint="eastAsia" w:ascii="Times New Roman" w:eastAsia="黑体"/>
          <w:b/>
          <w:sz w:val="30"/>
          <w:lang w:val="en-US" w:eastAsia="zh-CN"/>
        </w:rPr>
        <w:t>3.3  碳汇量预估</w:t>
      </w:r>
      <w:bookmarkEnd w:id="9"/>
    </w:p>
    <w:p w14:paraId="6A95CFA0">
      <w:pPr>
        <w:snapToGrid/>
        <w:spacing w:beforeAutospacing="0" w:afterAutospacing="0" w:line="288" w:lineRule="auto"/>
        <w:ind w:left="0" w:leftChars="0" w:right="0" w:rightChars="0" w:firstLine="482" w:firstLineChars="0"/>
        <w:jc w:val="both"/>
        <w:rPr>
          <w:rFonts w:hint="default" w:ascii="Times New Roman" w:eastAsia="宋体"/>
          <w:sz w:val="24"/>
          <w:lang w:val="en-US" w:eastAsia="zh-CN"/>
        </w:rPr>
      </w:pPr>
      <w:r>
        <w:rPr>
          <w:rFonts w:hint="eastAsia" w:ascii="Times New Roman" w:eastAsia="宋体"/>
          <w:sz w:val="24"/>
          <w:lang w:val="en-US" w:eastAsia="zh-CN"/>
        </w:rPr>
        <w:t>项目设计数据导入后，可以开展碳汇量预估。</w:t>
      </w:r>
    </w:p>
    <w:p w14:paraId="0E84629A">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工具计根据项目设计文件导入数据，按项目类别和需求估算出胸径、蓄积量、生物量、生物质碳储量、死有机质碳储量、土壤有机碳储量、木竹产品、林木采伐碳储量以及因采伐而引发的木竹产品和再造林碳储量。进而测算它们的变化量，最后估算出项目碳汇量，并对样地布设的样本容量及分层样地数进行计算。</w:t>
      </w:r>
    </w:p>
    <w:p w14:paraId="35ADFFB4">
      <w:pPr>
        <w:snapToGrid/>
        <w:spacing w:beforeAutospacing="0" w:afterAutospacing="0" w:line="288" w:lineRule="auto"/>
        <w:ind w:right="0" w:rightChars="0"/>
        <w:jc w:val="both"/>
      </w:pPr>
      <w:r>
        <w:drawing>
          <wp:inline distT="0" distB="0" distL="114300" distR="114300">
            <wp:extent cx="5266690" cy="2972435"/>
            <wp:effectExtent l="0" t="0" r="6350" b="146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0"/>
                    <a:stretch>
                      <a:fillRect/>
                    </a:stretch>
                  </pic:blipFill>
                  <pic:spPr>
                    <a:xfrm>
                      <a:off x="0" y="0"/>
                      <a:ext cx="5266690" cy="2972435"/>
                    </a:xfrm>
                    <a:prstGeom prst="rect">
                      <a:avLst/>
                    </a:prstGeom>
                    <a:noFill/>
                    <a:ln>
                      <a:noFill/>
                    </a:ln>
                  </pic:spPr>
                </pic:pic>
              </a:graphicData>
            </a:graphic>
          </wp:inline>
        </w:drawing>
      </w:r>
    </w:p>
    <w:p w14:paraId="201A02CF">
      <w:pPr>
        <w:snapToGrid/>
        <w:spacing w:beforeAutospacing="0" w:afterAutospacing="0" w:line="288" w:lineRule="auto"/>
        <w:ind w:right="0" w:rightChars="0"/>
        <w:jc w:val="both"/>
        <w:rPr>
          <w:rFonts w:hint="eastAsia"/>
          <w:lang w:val="en-US" w:eastAsia="zh-CN"/>
        </w:rPr>
      </w:pPr>
      <w:r>
        <w:drawing>
          <wp:inline distT="0" distB="0" distL="114300" distR="114300">
            <wp:extent cx="5266690" cy="2972435"/>
            <wp:effectExtent l="0" t="0" r="6350" b="1460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1"/>
                    <a:stretch>
                      <a:fillRect/>
                    </a:stretch>
                  </pic:blipFill>
                  <pic:spPr>
                    <a:xfrm>
                      <a:off x="0" y="0"/>
                      <a:ext cx="5266690" cy="2972435"/>
                    </a:xfrm>
                    <a:prstGeom prst="rect">
                      <a:avLst/>
                    </a:prstGeom>
                    <a:noFill/>
                    <a:ln>
                      <a:noFill/>
                    </a:ln>
                  </pic:spPr>
                </pic:pic>
              </a:graphicData>
            </a:graphic>
          </wp:inline>
        </w:drawing>
      </w:r>
    </w:p>
    <w:p w14:paraId="2EAB1D6C">
      <w:pPr>
        <w:snapToGrid/>
        <w:spacing w:before="260" w:beforeAutospacing="0" w:after="260" w:afterAutospacing="0" w:line="416" w:lineRule="auto"/>
        <w:ind w:left="0" w:leftChars="0" w:right="0" w:rightChars="0" w:firstLine="0" w:firstLineChars="0"/>
        <w:jc w:val="left"/>
        <w:outlineLvl w:val="1"/>
        <w:rPr>
          <w:rFonts w:hint="eastAsia" w:ascii="Times New Roman" w:eastAsia="黑体"/>
          <w:b/>
          <w:color w:val="auto"/>
          <w:sz w:val="30"/>
          <w:lang w:val="en-US" w:eastAsia="zh-CN"/>
        </w:rPr>
      </w:pPr>
      <w:bookmarkStart w:id="10" w:name="_Toc15220"/>
      <w:r>
        <w:rPr>
          <w:rFonts w:hint="eastAsia" w:ascii="Times New Roman" w:eastAsia="黑体"/>
          <w:b/>
          <w:color w:val="auto"/>
          <w:sz w:val="30"/>
          <w:lang w:val="en-US" w:eastAsia="zh-CN"/>
        </w:rPr>
        <w:t>3.3 导出Excel表格</w:t>
      </w:r>
      <w:bookmarkEnd w:id="10"/>
    </w:p>
    <w:p w14:paraId="7461B09E">
      <w:pPr>
        <w:snapToGrid/>
        <w:spacing w:beforeAutospacing="0" w:afterAutospacing="0" w:line="288" w:lineRule="auto"/>
        <w:ind w:left="0" w:leftChars="0" w:right="0" w:rightChars="0" w:firstLine="482" w:firstLineChars="0"/>
        <w:jc w:val="both"/>
        <w:rPr>
          <w:rFonts w:hint="default" w:ascii="Times New Roman" w:eastAsia="宋体"/>
          <w:color w:val="auto"/>
          <w:sz w:val="24"/>
          <w:lang w:val="en-US" w:eastAsia="zh-CN"/>
        </w:rPr>
      </w:pPr>
      <w:r>
        <w:rPr>
          <w:rFonts w:hint="eastAsia" w:ascii="Times New Roman" w:eastAsia="宋体"/>
          <w:color w:val="auto"/>
          <w:sz w:val="24"/>
          <w:lang w:val="en-US" w:eastAsia="zh-CN"/>
        </w:rPr>
        <w:t>将项目导入数据、过程数据、统计数据和结果数据导出至电子表格中。导出的电子表格默认存放在在工具可执行文件夹下，默认名称为：碳汇项目设计碳汇量及样本容量估算表.xls</w:t>
      </w:r>
    </w:p>
    <w:p w14:paraId="28E924BA">
      <w:pPr>
        <w:snapToGrid/>
        <w:spacing w:beforeAutospacing="0" w:afterAutospacing="0" w:line="288" w:lineRule="auto"/>
        <w:ind w:left="0" w:leftChars="0" w:right="0" w:rightChars="0" w:firstLine="482" w:firstLineChars="0"/>
        <w:jc w:val="both"/>
        <w:rPr>
          <w:rFonts w:hint="eastAsia" w:ascii="Times New Roman" w:eastAsia="宋体"/>
          <w:color w:val="auto"/>
          <w:sz w:val="24"/>
          <w:lang w:val="en-US" w:eastAsia="zh-CN"/>
        </w:rPr>
      </w:pPr>
      <w:r>
        <w:rPr>
          <w:rFonts w:hint="eastAsia" w:ascii="Times New Roman" w:eastAsia="宋体"/>
          <w:color w:val="auto"/>
          <w:sz w:val="24"/>
          <w:lang w:val="en-US" w:eastAsia="zh-CN"/>
        </w:rPr>
        <w:t>导出的电子表格根据项目类型和碳库设置，共导出16-23个表格，根据需要或经汇总统计后作为PDD文档的内部表或附件表。</w:t>
      </w:r>
    </w:p>
    <w:p w14:paraId="03E8E55E">
      <w:pPr>
        <w:snapToGrid/>
        <w:spacing w:beforeAutospacing="0" w:afterAutospacing="0" w:line="288" w:lineRule="auto"/>
        <w:ind w:left="0" w:leftChars="0" w:right="0" w:rightChars="0" w:firstLine="482" w:firstLineChars="0"/>
        <w:jc w:val="both"/>
        <w:rPr>
          <w:rFonts w:hint="eastAsia" w:ascii="Times New Roman" w:eastAsia="宋体"/>
          <w:color w:val="auto"/>
          <w:sz w:val="24"/>
          <w:lang w:val="en-US" w:eastAsia="zh-CN"/>
        </w:rPr>
      </w:pPr>
      <w:r>
        <w:rPr>
          <w:rFonts w:hint="eastAsia" w:ascii="Times New Roman" w:eastAsia="宋体"/>
          <w:color w:val="auto"/>
          <w:sz w:val="24"/>
          <w:lang w:val="en-US" w:eastAsia="zh-CN"/>
        </w:rPr>
        <w:t>本工具不包括样地布设，样地布设工具因需项目边界文件支扶持而另行开发。</w:t>
      </w:r>
    </w:p>
    <w:p w14:paraId="0B9315F2">
      <w:pPr>
        <w:snapToGrid/>
        <w:spacing w:beforeAutospacing="0" w:afterAutospacing="0" w:line="288" w:lineRule="auto"/>
        <w:ind w:right="0" w:rightChars="0"/>
        <w:jc w:val="both"/>
        <w:rPr>
          <w:rFonts w:hint="eastAsia" w:ascii="Times New Roman" w:eastAsia="宋体"/>
          <w:color w:val="auto"/>
          <w:sz w:val="24"/>
          <w:lang w:eastAsia="zh-CN"/>
        </w:rPr>
      </w:pPr>
      <w:r>
        <w:drawing>
          <wp:inline distT="0" distB="0" distL="114300" distR="114300">
            <wp:extent cx="5268595" cy="3305810"/>
            <wp:effectExtent l="0" t="0" r="4445" b="127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2"/>
                    <a:stretch>
                      <a:fillRect/>
                    </a:stretch>
                  </pic:blipFill>
                  <pic:spPr>
                    <a:xfrm>
                      <a:off x="0" y="0"/>
                      <a:ext cx="5268595" cy="3305810"/>
                    </a:xfrm>
                    <a:prstGeom prst="rect">
                      <a:avLst/>
                    </a:prstGeom>
                    <a:noFill/>
                    <a:ln>
                      <a:noFill/>
                    </a:ln>
                  </pic:spPr>
                </pic:pic>
              </a:graphicData>
            </a:graphic>
          </wp:inline>
        </w:drawing>
      </w:r>
    </w:p>
    <w:p w14:paraId="696CF831">
      <w:pPr>
        <w:keepNext w:val="0"/>
        <w:keepLines w:val="0"/>
        <w:pageBreakBefore w:val="0"/>
        <w:widowControl w:val="0"/>
        <w:kinsoku/>
        <w:wordWrap/>
        <w:overflowPunct/>
        <w:topLinePunct w:val="0"/>
        <w:autoSpaceDE/>
        <w:autoSpaceDN/>
        <w:bidi w:val="0"/>
        <w:adjustRightInd/>
        <w:snapToGrid/>
        <w:spacing w:before="220" w:beforeAutospacing="0" w:after="240" w:afterAutospacing="0" w:line="579" w:lineRule="auto"/>
        <w:ind w:left="0" w:leftChars="0" w:right="0" w:rightChars="0" w:firstLine="0" w:firstLineChars="0"/>
        <w:jc w:val="center"/>
        <w:textAlignment w:val="auto"/>
        <w:outlineLvl w:val="0"/>
        <w:rPr>
          <w:rFonts w:hint="eastAsia" w:ascii="Times New Roman" w:eastAsia="黑体"/>
          <w:b/>
          <w:color w:val="auto"/>
          <w:sz w:val="36"/>
          <w:lang w:val="en-US" w:eastAsia="zh-CN"/>
        </w:rPr>
      </w:pPr>
      <w:bookmarkStart w:id="11" w:name="_Toc20127"/>
      <w:r>
        <w:rPr>
          <w:rFonts w:hint="eastAsia" w:ascii="Times New Roman" w:eastAsia="黑体"/>
          <w:b/>
          <w:color w:val="auto"/>
          <w:sz w:val="36"/>
          <w:lang w:val="en-US" w:eastAsia="zh-CN"/>
        </w:rPr>
        <w:t>4  监测统计</w:t>
      </w:r>
      <w:bookmarkEnd w:id="11"/>
    </w:p>
    <w:p w14:paraId="31CC3396">
      <w:pPr>
        <w:snapToGrid/>
        <w:spacing w:beforeAutospacing="0" w:afterAutospacing="0" w:line="288" w:lineRule="auto"/>
        <w:ind w:left="0" w:leftChars="0" w:right="0" w:rightChars="0" w:firstLine="482" w:firstLineChars="0"/>
        <w:jc w:val="both"/>
        <w:rPr>
          <w:rFonts w:hint="eastAsia" w:ascii="Times New Roman" w:eastAsia="宋体"/>
          <w:color w:val="auto"/>
          <w:sz w:val="24"/>
          <w:lang w:val="en-US" w:eastAsia="zh-CN"/>
        </w:rPr>
      </w:pPr>
      <w:r>
        <w:rPr>
          <w:rFonts w:hint="eastAsia" w:ascii="Times New Roman" w:eastAsia="宋体"/>
          <w:color w:val="auto"/>
          <w:sz w:val="24"/>
          <w:lang w:val="en-US" w:eastAsia="zh-CN"/>
        </w:rPr>
        <w:t>监测统计为项目实施阶段统计样地和火烧数据而设置。</w:t>
      </w:r>
    </w:p>
    <w:p w14:paraId="70627347">
      <w:pPr>
        <w:snapToGrid/>
        <w:spacing w:beforeAutospacing="0" w:afterAutospacing="0" w:line="288" w:lineRule="auto"/>
        <w:ind w:left="0" w:leftChars="0" w:right="0" w:rightChars="0" w:firstLine="482" w:firstLineChars="0"/>
        <w:jc w:val="both"/>
        <w:rPr>
          <w:rFonts w:hint="eastAsia" w:ascii="Times New Roman" w:eastAsia="宋体"/>
          <w:color w:val="auto"/>
          <w:sz w:val="24"/>
          <w:lang w:val="en-US" w:eastAsia="zh-CN"/>
        </w:rPr>
      </w:pPr>
      <w:r>
        <w:rPr>
          <w:rFonts w:hint="eastAsia" w:ascii="Times New Roman" w:eastAsia="宋体"/>
          <w:color w:val="auto"/>
          <w:sz w:val="24"/>
          <w:lang w:val="en-US" w:eastAsia="zh-CN"/>
        </w:rPr>
        <w:t>主要功能有：导入样地调查数据、导入火烧数据、设置监测年度和最近一次监测的主要数据、碳汇量统计、导出Excel表格。</w:t>
      </w:r>
    </w:p>
    <w:p w14:paraId="3ADA5AB2">
      <w:pPr>
        <w:keepNext w:val="0"/>
        <w:keepLines w:val="0"/>
        <w:pageBreakBefore w:val="0"/>
        <w:widowControl w:val="0"/>
        <w:kinsoku/>
        <w:wordWrap/>
        <w:overflowPunct/>
        <w:topLinePunct w:val="0"/>
        <w:autoSpaceDE/>
        <w:autoSpaceDN/>
        <w:bidi w:val="0"/>
        <w:adjustRightInd/>
        <w:snapToGrid/>
        <w:spacing w:before="140" w:beforeAutospacing="0" w:after="140" w:afterAutospacing="0" w:line="416" w:lineRule="auto"/>
        <w:ind w:left="0" w:leftChars="0" w:right="0" w:rightChars="0" w:firstLine="0" w:firstLineChars="0"/>
        <w:jc w:val="left"/>
        <w:textAlignment w:val="auto"/>
        <w:outlineLvl w:val="1"/>
        <w:rPr>
          <w:rFonts w:hint="default" w:ascii="Times New Roman" w:eastAsia="黑体"/>
          <w:b/>
          <w:color w:val="auto"/>
          <w:sz w:val="30"/>
          <w:lang w:val="en-US" w:eastAsia="zh-CN"/>
        </w:rPr>
      </w:pPr>
      <w:bookmarkStart w:id="12" w:name="_Toc10111"/>
      <w:r>
        <w:rPr>
          <w:rFonts w:hint="eastAsia" w:ascii="Times New Roman" w:eastAsia="黑体"/>
          <w:b/>
          <w:color w:val="auto"/>
          <w:sz w:val="30"/>
          <w:lang w:val="en-US" w:eastAsia="zh-CN"/>
        </w:rPr>
        <w:t>4.1  设置</w:t>
      </w:r>
      <w:bookmarkEnd w:id="12"/>
    </w:p>
    <w:p w14:paraId="039D456E">
      <w:pPr>
        <w:snapToGrid/>
        <w:spacing w:beforeAutospacing="0" w:afterAutospacing="0" w:line="288" w:lineRule="auto"/>
        <w:ind w:left="479" w:leftChars="228" w:right="0" w:rightChars="0" w:firstLine="0" w:firstLineChars="0"/>
        <w:jc w:val="both"/>
        <w:rPr>
          <w:rFonts w:hint="default" w:ascii="Times New Roman" w:eastAsia="宋体"/>
          <w:color w:val="auto"/>
          <w:sz w:val="24"/>
          <w:lang w:val="en-US" w:eastAsia="zh-CN"/>
        </w:rPr>
      </w:pPr>
      <w:r>
        <w:rPr>
          <w:rFonts w:hint="eastAsia" w:ascii="Times New Roman" w:eastAsia="宋体"/>
          <w:color w:val="auto"/>
          <w:sz w:val="24"/>
          <w:lang w:val="en-US" w:eastAsia="zh-CN"/>
        </w:rPr>
        <w:t>（1）在项目设置栏中先进行相应的项目类型等所有项的设置。</w:t>
      </w:r>
      <w:r>
        <w:rPr>
          <w:rFonts w:hint="eastAsia" w:ascii="Times New Roman" w:eastAsia="宋体"/>
          <w:color w:val="auto"/>
          <w:sz w:val="24"/>
          <w:lang w:val="en-US" w:eastAsia="zh-CN"/>
        </w:rPr>
        <w:br w:type="textWrapping"/>
      </w:r>
      <w:r>
        <w:rPr>
          <w:rFonts w:hint="eastAsia" w:ascii="Times New Roman" w:eastAsia="宋体"/>
          <w:color w:val="auto"/>
          <w:sz w:val="24"/>
          <w:lang w:val="en-US" w:eastAsia="zh-CN"/>
        </w:rPr>
        <w:t>（2）监测时间：填写样地监测完成日的时间，也可以填写开展监测统计的时间。</w:t>
      </w:r>
    </w:p>
    <w:p w14:paraId="31119724">
      <w:pPr>
        <w:snapToGrid/>
        <w:spacing w:beforeAutospacing="0" w:afterAutospacing="0" w:line="288" w:lineRule="auto"/>
        <w:ind w:left="0" w:leftChars="0" w:right="0" w:rightChars="0" w:firstLine="482" w:firstLineChars="0"/>
        <w:jc w:val="both"/>
        <w:rPr>
          <w:rFonts w:hint="eastAsia" w:ascii="Times New Roman" w:eastAsia="宋体"/>
          <w:color w:val="auto"/>
          <w:sz w:val="24"/>
          <w:lang w:val="zh-CN" w:eastAsia="zh-CN"/>
        </w:rPr>
      </w:pPr>
      <w:r>
        <w:rPr>
          <w:rFonts w:hint="eastAsia" w:ascii="Times New Roman" w:eastAsia="宋体"/>
          <w:color w:val="auto"/>
          <w:sz w:val="24"/>
          <w:lang w:val="zh-CN" w:eastAsia="zh-CN"/>
        </w:rPr>
        <w:t>（</w:t>
      </w:r>
      <w:r>
        <w:rPr>
          <w:rFonts w:hint="eastAsia" w:ascii="Times New Roman" w:eastAsia="宋体"/>
          <w:color w:val="auto"/>
          <w:sz w:val="24"/>
          <w:lang w:val="en-US" w:eastAsia="zh-CN"/>
        </w:rPr>
        <w:t>3</w:t>
      </w:r>
      <w:r>
        <w:rPr>
          <w:rFonts w:hint="eastAsia" w:ascii="Times New Roman" w:eastAsia="宋体"/>
          <w:color w:val="auto"/>
          <w:sz w:val="24"/>
          <w:lang w:val="zh-CN" w:eastAsia="zh-CN"/>
        </w:rPr>
        <w:t>）</w:t>
      </w:r>
      <w:r>
        <w:rPr>
          <w:rFonts w:hint="eastAsia" w:ascii="Times New Roman" w:eastAsia="宋体"/>
          <w:color w:val="auto"/>
          <w:sz w:val="24"/>
          <w:lang w:val="en-US" w:eastAsia="zh-CN"/>
        </w:rPr>
        <w:t>首次监测时，在是否首次监测处打勾（默认）</w:t>
      </w:r>
    </w:p>
    <w:p w14:paraId="0CA3A915">
      <w:pPr>
        <w:snapToGrid/>
        <w:spacing w:beforeAutospacing="0" w:afterAutospacing="0" w:line="288" w:lineRule="auto"/>
        <w:ind w:right="0" w:rightChars="0"/>
        <w:jc w:val="both"/>
      </w:pPr>
      <w:r>
        <w:drawing>
          <wp:inline distT="0" distB="0" distL="114300" distR="114300">
            <wp:extent cx="5266690" cy="2972435"/>
            <wp:effectExtent l="0" t="0" r="6350" b="1460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3"/>
                    <a:stretch>
                      <a:fillRect/>
                    </a:stretch>
                  </pic:blipFill>
                  <pic:spPr>
                    <a:xfrm>
                      <a:off x="0" y="0"/>
                      <a:ext cx="5266690" cy="2972435"/>
                    </a:xfrm>
                    <a:prstGeom prst="rect">
                      <a:avLst/>
                    </a:prstGeom>
                    <a:noFill/>
                    <a:ln>
                      <a:noFill/>
                    </a:ln>
                  </pic:spPr>
                </pic:pic>
              </a:graphicData>
            </a:graphic>
          </wp:inline>
        </w:drawing>
      </w:r>
    </w:p>
    <w:p w14:paraId="727318E5">
      <w:pPr>
        <w:snapToGrid/>
        <w:spacing w:beforeAutospacing="0" w:afterAutospacing="0" w:line="288" w:lineRule="auto"/>
        <w:ind w:left="0" w:leftChars="0" w:right="0" w:rightChars="0" w:firstLine="482" w:firstLineChars="0"/>
        <w:jc w:val="both"/>
        <w:rPr>
          <w:rFonts w:hint="eastAsia" w:ascii="Times New Roman" w:eastAsia="宋体"/>
          <w:color w:val="auto"/>
          <w:sz w:val="24"/>
          <w:lang w:val="zh-CN" w:eastAsia="zh-CN"/>
        </w:rPr>
      </w:pPr>
      <w:r>
        <w:rPr>
          <w:rFonts w:hint="eastAsia" w:ascii="Times New Roman" w:eastAsia="宋体"/>
          <w:color w:val="auto"/>
          <w:sz w:val="24"/>
          <w:lang w:val="zh-CN" w:eastAsia="zh-CN"/>
        </w:rPr>
        <w:t>非首次核查时，</w:t>
      </w:r>
      <w:r>
        <w:rPr>
          <w:rFonts w:hint="eastAsia" w:ascii="Times New Roman" w:eastAsia="宋体"/>
          <w:color w:val="auto"/>
          <w:sz w:val="24"/>
          <w:lang w:val="en-US" w:eastAsia="zh-CN"/>
        </w:rPr>
        <w:t>去除是否首次监测的勾造项，</w:t>
      </w:r>
      <w:r>
        <w:rPr>
          <w:rFonts w:hint="eastAsia" w:ascii="Times New Roman" w:eastAsia="宋体"/>
          <w:color w:val="auto"/>
          <w:sz w:val="24"/>
          <w:lang w:val="zh-CN" w:eastAsia="zh-CN"/>
        </w:rPr>
        <w:t>填写</w:t>
      </w:r>
      <w:r>
        <w:rPr>
          <w:rFonts w:hint="eastAsia" w:ascii="Times New Roman" w:eastAsia="宋体"/>
          <w:color w:val="auto"/>
          <w:sz w:val="24"/>
          <w:lang w:val="en-US" w:eastAsia="zh-CN"/>
        </w:rPr>
        <w:t>最近一次监测时间、以及最近一次监测的单位面积生物质</w:t>
      </w:r>
      <w:r>
        <w:rPr>
          <w:rFonts w:hint="eastAsia" w:ascii="Times New Roman" w:eastAsia="宋体"/>
          <w:color w:val="auto"/>
          <w:sz w:val="24"/>
          <w:lang w:val="zh-CN" w:eastAsia="zh-CN"/>
        </w:rPr>
        <w:t>碳储量、</w:t>
      </w:r>
      <w:r>
        <w:rPr>
          <w:rFonts w:hint="eastAsia" w:ascii="Times New Roman" w:eastAsia="宋体"/>
          <w:color w:val="auto"/>
          <w:sz w:val="24"/>
          <w:lang w:val="en-US" w:eastAsia="zh-CN"/>
        </w:rPr>
        <w:t>死有机质碳储量和土壤有机碳储量，</w:t>
      </w:r>
      <w:r>
        <w:rPr>
          <w:rFonts w:hint="eastAsia" w:ascii="Times New Roman" w:eastAsia="宋体"/>
          <w:color w:val="auto"/>
          <w:sz w:val="24"/>
          <w:lang w:val="zh-CN" w:eastAsia="zh-CN"/>
        </w:rPr>
        <w:t>单位为吨二氧化碳当量每公顷(tCO2e·hm</w:t>
      </w:r>
      <w:r>
        <w:rPr>
          <w:rFonts w:hint="eastAsia" w:ascii="Times New Roman" w:eastAsia="宋体"/>
          <w:color w:val="auto"/>
          <w:sz w:val="24"/>
          <w:vertAlign w:val="superscript"/>
          <w:lang w:val="zh-CN" w:eastAsia="zh-CN"/>
        </w:rPr>
        <w:t>-2</w:t>
      </w:r>
      <w:r>
        <w:rPr>
          <w:rFonts w:hint="eastAsia" w:ascii="Times New Roman" w:eastAsia="宋体"/>
          <w:color w:val="auto"/>
          <w:sz w:val="24"/>
          <w:lang w:val="zh-CN" w:eastAsia="zh-CN"/>
        </w:rPr>
        <w:t>)。</w:t>
      </w:r>
    </w:p>
    <w:p w14:paraId="07696F2C">
      <w:pPr>
        <w:snapToGrid/>
        <w:spacing w:beforeAutospacing="0" w:afterAutospacing="0" w:line="288" w:lineRule="auto"/>
        <w:ind w:right="0" w:rightChars="0"/>
        <w:jc w:val="both"/>
      </w:pPr>
    </w:p>
    <w:p w14:paraId="2209EFC0">
      <w:pPr>
        <w:snapToGrid/>
        <w:spacing w:beforeAutospacing="0" w:afterAutospacing="0" w:line="288" w:lineRule="auto"/>
        <w:ind w:right="0" w:rightChars="0"/>
        <w:jc w:val="both"/>
        <w:rPr>
          <w:rFonts w:hint="eastAsia"/>
          <w:lang w:val="zh-CN" w:eastAsia="zh-CN"/>
        </w:rPr>
      </w:pPr>
      <w:r>
        <w:drawing>
          <wp:inline distT="0" distB="0" distL="114300" distR="114300">
            <wp:extent cx="5266690" cy="2972435"/>
            <wp:effectExtent l="0" t="0" r="6350" b="1460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14"/>
                    <a:stretch>
                      <a:fillRect/>
                    </a:stretch>
                  </pic:blipFill>
                  <pic:spPr>
                    <a:xfrm>
                      <a:off x="0" y="0"/>
                      <a:ext cx="5266690" cy="2972435"/>
                    </a:xfrm>
                    <a:prstGeom prst="rect">
                      <a:avLst/>
                    </a:prstGeom>
                    <a:noFill/>
                    <a:ln>
                      <a:noFill/>
                    </a:ln>
                  </pic:spPr>
                </pic:pic>
              </a:graphicData>
            </a:graphic>
          </wp:inline>
        </w:drawing>
      </w:r>
    </w:p>
    <w:p w14:paraId="4738A077">
      <w:pPr>
        <w:keepNext w:val="0"/>
        <w:keepLines w:val="0"/>
        <w:pageBreakBefore w:val="0"/>
        <w:widowControl w:val="0"/>
        <w:kinsoku/>
        <w:wordWrap/>
        <w:overflowPunct/>
        <w:topLinePunct w:val="0"/>
        <w:autoSpaceDE/>
        <w:autoSpaceDN/>
        <w:bidi w:val="0"/>
        <w:adjustRightInd/>
        <w:snapToGrid/>
        <w:spacing w:before="140" w:beforeAutospacing="0" w:after="140" w:afterAutospacing="0" w:line="416" w:lineRule="auto"/>
        <w:ind w:left="0" w:leftChars="0" w:right="0" w:rightChars="0" w:firstLine="0" w:firstLineChars="0"/>
        <w:jc w:val="left"/>
        <w:textAlignment w:val="auto"/>
        <w:outlineLvl w:val="1"/>
        <w:rPr>
          <w:rFonts w:hint="eastAsia" w:ascii="Times New Roman" w:eastAsia="黑体"/>
          <w:b/>
          <w:color w:val="auto"/>
          <w:sz w:val="30"/>
          <w:lang w:val="en-US" w:eastAsia="zh-CN"/>
        </w:rPr>
      </w:pPr>
      <w:bookmarkStart w:id="13" w:name="_Toc29418"/>
      <w:r>
        <w:rPr>
          <w:rFonts w:hint="eastAsia" w:ascii="Times New Roman" w:eastAsia="黑体"/>
          <w:b/>
          <w:color w:val="auto"/>
          <w:sz w:val="30"/>
          <w:lang w:val="en-US" w:eastAsia="zh-CN"/>
        </w:rPr>
        <w:t>4.2  导入样地数据</w:t>
      </w:r>
      <w:bookmarkEnd w:id="13"/>
    </w:p>
    <w:p w14:paraId="29E45B29">
      <w:pPr>
        <w:snapToGrid/>
        <w:spacing w:beforeAutospacing="0" w:afterAutospacing="0" w:line="288" w:lineRule="auto"/>
        <w:ind w:left="0" w:leftChars="0" w:right="0" w:rightChars="0" w:firstLine="482" w:firstLineChars="0"/>
        <w:jc w:val="both"/>
        <w:rPr>
          <w:rFonts w:hint="default" w:ascii="Times New Roman" w:eastAsia="宋体"/>
          <w:color w:val="auto"/>
          <w:sz w:val="24"/>
          <w:lang w:val="en-US" w:eastAsia="zh-CN"/>
        </w:rPr>
      </w:pPr>
      <w:r>
        <w:rPr>
          <w:rFonts w:hint="eastAsia" w:ascii="Times New Roman" w:eastAsia="宋体"/>
          <w:color w:val="auto"/>
          <w:sz w:val="24"/>
          <w:lang w:val="en-US" w:eastAsia="zh-CN"/>
        </w:rPr>
        <w:t>导入的样地数据需包含样地调查的主要数据，格式为Dbase3（.dbf）格式。样地数据需包含：碳层号（TC）、碳层面积（TC_AREA）、样地号（PLOT_NO）、样地面积（PLOT_AREA）、树号（TREE_NO）、树种名称（TREE_NAME）、树龄（TREE_AGE）、胸径（TREE_DBH）、树高（TREE_H）。碳层设置中勾选一致的，不需树高数据。</w:t>
      </w:r>
    </w:p>
    <w:p w14:paraId="41D270F9">
      <w:pPr>
        <w:snapToGrid/>
        <w:spacing w:beforeAutospacing="0" w:afterAutospacing="0" w:line="288" w:lineRule="auto"/>
        <w:ind w:left="0" w:leftChars="0" w:right="0" w:rightChars="0" w:firstLine="482" w:firstLineChars="0"/>
        <w:jc w:val="both"/>
        <w:rPr>
          <w:rFonts w:hint="eastAsia" w:ascii="Times New Roman" w:eastAsia="宋体"/>
          <w:color w:val="auto"/>
          <w:sz w:val="24"/>
          <w:lang w:val="en-US" w:eastAsia="zh-CN"/>
        </w:rPr>
      </w:pPr>
      <w:r>
        <w:rPr>
          <w:rFonts w:hint="eastAsia" w:ascii="Times New Roman" w:eastAsia="宋体"/>
          <w:color w:val="auto"/>
          <w:sz w:val="24"/>
          <w:lang w:val="en-US" w:eastAsia="zh-CN"/>
        </w:rPr>
        <w:t>导入样地数据时，对会导入的数据进行质量检查，质检不合格的需要在原DBF数据中修正后再导入。</w:t>
      </w:r>
    </w:p>
    <w:p w14:paraId="754A2333">
      <w:pPr>
        <w:snapToGrid/>
        <w:spacing w:beforeAutospacing="0" w:afterAutospacing="0" w:line="288" w:lineRule="auto"/>
        <w:ind w:left="0" w:leftChars="0" w:right="0" w:rightChars="0" w:firstLine="482" w:firstLineChars="0"/>
        <w:jc w:val="both"/>
        <w:rPr>
          <w:rFonts w:hint="eastAsia" w:ascii="Times New Roman" w:hAnsi="宋体" w:eastAsia="宋体" w:cs="宋体"/>
          <w:sz w:val="24"/>
          <w:szCs w:val="24"/>
          <w:lang w:val="en-US" w:eastAsia="zh-CN"/>
        </w:rPr>
      </w:pPr>
      <w:r>
        <w:rPr>
          <w:rFonts w:hint="eastAsia" w:ascii="Times New Roman" w:hAnsi="宋体" w:eastAsia="宋体" w:cs="宋体"/>
          <w:sz w:val="24"/>
          <w:szCs w:val="24"/>
          <w:lang w:val="en-US" w:eastAsia="zh-CN"/>
        </w:rPr>
        <w:t>样地监测输入表格式：</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6"/>
        <w:gridCol w:w="1257"/>
        <w:gridCol w:w="5969"/>
      </w:tblGrid>
      <w:tr w14:paraId="61980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41" w:type="dxa"/>
          </w:tcPr>
          <w:p w14:paraId="35FEBC21">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字段名称</w:t>
            </w:r>
          </w:p>
        </w:tc>
        <w:tc>
          <w:tcPr>
            <w:tcW w:w="1260" w:type="dxa"/>
          </w:tcPr>
          <w:p w14:paraId="3D0DA18E">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数据类型</w:t>
            </w:r>
          </w:p>
        </w:tc>
        <w:tc>
          <w:tcPr>
            <w:tcW w:w="6021" w:type="dxa"/>
          </w:tcPr>
          <w:p w14:paraId="11EE2BC2">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说明</w:t>
            </w:r>
          </w:p>
        </w:tc>
      </w:tr>
      <w:tr w14:paraId="5E277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tcPr>
          <w:p w14:paraId="431AB7FA">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TC</w:t>
            </w:r>
          </w:p>
        </w:tc>
        <w:tc>
          <w:tcPr>
            <w:tcW w:w="1260" w:type="dxa"/>
          </w:tcPr>
          <w:p w14:paraId="4B3D1CE4">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LONG</w:t>
            </w:r>
          </w:p>
        </w:tc>
        <w:tc>
          <w:tcPr>
            <w:tcW w:w="6021" w:type="dxa"/>
          </w:tcPr>
          <w:p w14:paraId="7759FD98">
            <w:pPr>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碳层号</w:t>
            </w:r>
          </w:p>
        </w:tc>
      </w:tr>
      <w:tr w14:paraId="1409F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tcPr>
          <w:p w14:paraId="2790B528">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TC_AREA</w:t>
            </w:r>
          </w:p>
        </w:tc>
        <w:tc>
          <w:tcPr>
            <w:tcW w:w="1260" w:type="dxa"/>
          </w:tcPr>
          <w:p w14:paraId="2299DA13">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DOUBLE</w:t>
            </w:r>
          </w:p>
        </w:tc>
        <w:tc>
          <w:tcPr>
            <w:tcW w:w="6021" w:type="dxa"/>
          </w:tcPr>
          <w:p w14:paraId="20A53017">
            <w:pPr>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碳层面积,公顷</w:t>
            </w:r>
          </w:p>
        </w:tc>
      </w:tr>
      <w:tr w14:paraId="26194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tcPr>
          <w:p w14:paraId="2587F412">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PLOT_NO</w:t>
            </w:r>
          </w:p>
        </w:tc>
        <w:tc>
          <w:tcPr>
            <w:tcW w:w="1260" w:type="dxa"/>
          </w:tcPr>
          <w:p w14:paraId="2604D5B2">
            <w:pPr>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LONG</w:t>
            </w:r>
          </w:p>
        </w:tc>
        <w:tc>
          <w:tcPr>
            <w:tcW w:w="6021" w:type="dxa"/>
          </w:tcPr>
          <w:p w14:paraId="35627CB8">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样地号</w:t>
            </w:r>
          </w:p>
        </w:tc>
      </w:tr>
      <w:tr w14:paraId="51F44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tcPr>
          <w:p w14:paraId="30255C35">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PLOT_AREA</w:t>
            </w:r>
          </w:p>
        </w:tc>
        <w:tc>
          <w:tcPr>
            <w:tcW w:w="1260" w:type="dxa"/>
          </w:tcPr>
          <w:p w14:paraId="7B2CCDC5">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DOUBLE</w:t>
            </w:r>
          </w:p>
        </w:tc>
        <w:tc>
          <w:tcPr>
            <w:tcW w:w="6021" w:type="dxa"/>
          </w:tcPr>
          <w:p w14:paraId="688CA2FE">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样地面积，公顷</w:t>
            </w:r>
          </w:p>
        </w:tc>
      </w:tr>
      <w:tr w14:paraId="1C04F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tcPr>
          <w:p w14:paraId="6DEC2F48">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TREE_NO</w:t>
            </w:r>
          </w:p>
        </w:tc>
        <w:tc>
          <w:tcPr>
            <w:tcW w:w="1260" w:type="dxa"/>
          </w:tcPr>
          <w:p w14:paraId="7C9DC603">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LONG</w:t>
            </w:r>
          </w:p>
        </w:tc>
        <w:tc>
          <w:tcPr>
            <w:tcW w:w="6021" w:type="dxa"/>
          </w:tcPr>
          <w:p w14:paraId="78CFDC51">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测树编号</w:t>
            </w:r>
          </w:p>
        </w:tc>
      </w:tr>
      <w:tr w14:paraId="2350E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vAlign w:val="top"/>
          </w:tcPr>
          <w:p w14:paraId="5C0AD77B">
            <w:pPr>
              <w:rPr>
                <w:rFonts w:hint="default" w:ascii="宋体" w:hAnsi="宋体" w:eastAsia="宋体" w:cs="宋体"/>
                <w:kern w:val="2"/>
                <w:sz w:val="24"/>
                <w:szCs w:val="24"/>
                <w:vertAlign w:val="baseline"/>
                <w:lang w:val="en-US" w:eastAsia="zh-CN" w:bidi="ar-SA"/>
              </w:rPr>
            </w:pPr>
            <w:r>
              <w:rPr>
                <w:rFonts w:hint="eastAsia" w:ascii="宋体" w:hAnsi="宋体" w:eastAsia="宋体" w:cs="宋体"/>
                <w:sz w:val="24"/>
                <w:szCs w:val="24"/>
                <w:vertAlign w:val="baseline"/>
                <w:lang w:val="en-US" w:eastAsia="zh-CN"/>
              </w:rPr>
              <w:t>TREE_NAME</w:t>
            </w:r>
          </w:p>
        </w:tc>
        <w:tc>
          <w:tcPr>
            <w:tcW w:w="1260" w:type="dxa"/>
            <w:vAlign w:val="top"/>
          </w:tcPr>
          <w:p w14:paraId="6B1E9AAF">
            <w:pPr>
              <w:rPr>
                <w:rFonts w:hint="default" w:ascii="宋体" w:hAnsi="宋体" w:eastAsia="宋体" w:cs="宋体"/>
                <w:kern w:val="2"/>
                <w:sz w:val="24"/>
                <w:szCs w:val="24"/>
                <w:vertAlign w:val="baseline"/>
                <w:lang w:val="en-US" w:eastAsia="zh-CN" w:bidi="ar-SA"/>
              </w:rPr>
            </w:pPr>
            <w:r>
              <w:rPr>
                <w:rFonts w:hint="eastAsia" w:ascii="宋体" w:hAnsi="宋体" w:eastAsia="宋体" w:cs="宋体"/>
                <w:sz w:val="24"/>
                <w:szCs w:val="24"/>
                <w:vertAlign w:val="baseline"/>
                <w:lang w:val="en-US" w:eastAsia="zh-CN"/>
              </w:rPr>
              <w:t>C(12)</w:t>
            </w:r>
          </w:p>
        </w:tc>
        <w:tc>
          <w:tcPr>
            <w:tcW w:w="6021" w:type="dxa"/>
            <w:vAlign w:val="top"/>
          </w:tcPr>
          <w:p w14:paraId="0C904BDA">
            <w:pPr>
              <w:rPr>
                <w:rFonts w:hint="default" w:ascii="宋体" w:hAnsi="宋体" w:eastAsia="宋体" w:cs="宋体"/>
                <w:kern w:val="2"/>
                <w:sz w:val="24"/>
                <w:szCs w:val="24"/>
                <w:vertAlign w:val="baseline"/>
                <w:lang w:val="en-US" w:eastAsia="zh-CN" w:bidi="ar-SA"/>
              </w:rPr>
            </w:pPr>
            <w:r>
              <w:rPr>
                <w:rFonts w:hint="eastAsia" w:ascii="宋体" w:hAnsi="宋体" w:eastAsia="宋体" w:cs="宋体"/>
                <w:kern w:val="2"/>
                <w:sz w:val="24"/>
                <w:szCs w:val="24"/>
                <w:vertAlign w:val="baseline"/>
                <w:lang w:val="en-US" w:eastAsia="zh-CN" w:bidi="ar-SA"/>
              </w:rPr>
              <w:t>树种名称</w:t>
            </w:r>
          </w:p>
        </w:tc>
      </w:tr>
      <w:tr w14:paraId="7295A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tcPr>
          <w:p w14:paraId="673FF930">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TREE_AGE</w:t>
            </w:r>
          </w:p>
        </w:tc>
        <w:tc>
          <w:tcPr>
            <w:tcW w:w="1260" w:type="dxa"/>
          </w:tcPr>
          <w:p w14:paraId="64167FDC">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DOUBLE</w:t>
            </w:r>
          </w:p>
        </w:tc>
        <w:tc>
          <w:tcPr>
            <w:tcW w:w="6021" w:type="dxa"/>
          </w:tcPr>
          <w:p w14:paraId="11B80C1F">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树种年龄</w:t>
            </w:r>
          </w:p>
        </w:tc>
      </w:tr>
      <w:tr w14:paraId="7A28D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tcPr>
          <w:p w14:paraId="529FBAFD">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TREE_DBH</w:t>
            </w:r>
          </w:p>
        </w:tc>
        <w:tc>
          <w:tcPr>
            <w:tcW w:w="1260" w:type="dxa"/>
          </w:tcPr>
          <w:p w14:paraId="6EF61AE8">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DOUBLE</w:t>
            </w:r>
          </w:p>
        </w:tc>
        <w:tc>
          <w:tcPr>
            <w:tcW w:w="6021" w:type="dxa"/>
          </w:tcPr>
          <w:p w14:paraId="10EFD05E">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测树胸径</w:t>
            </w:r>
          </w:p>
        </w:tc>
      </w:tr>
      <w:tr w14:paraId="7BC79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tcPr>
          <w:p w14:paraId="522709D9">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TREE_H</w:t>
            </w:r>
          </w:p>
        </w:tc>
        <w:tc>
          <w:tcPr>
            <w:tcW w:w="1260" w:type="dxa"/>
          </w:tcPr>
          <w:p w14:paraId="0063708F">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DOUBLE</w:t>
            </w:r>
          </w:p>
        </w:tc>
        <w:tc>
          <w:tcPr>
            <w:tcW w:w="6021" w:type="dxa"/>
          </w:tcPr>
          <w:p w14:paraId="57F2BF72">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测树树高</w:t>
            </w:r>
          </w:p>
        </w:tc>
      </w:tr>
    </w:tbl>
    <w:p w14:paraId="607F916C">
      <w:pPr>
        <w:snapToGrid/>
        <w:spacing w:beforeAutospacing="0" w:afterAutospacing="0" w:line="288" w:lineRule="auto"/>
        <w:ind w:left="0" w:leftChars="0" w:right="0" w:rightChars="0" w:firstLine="482" w:firstLineChars="0"/>
        <w:jc w:val="both"/>
        <w:rPr>
          <w:rFonts w:hint="eastAsia" w:ascii="Times New Roman" w:hAnsi="宋体" w:eastAsia="宋体" w:cs="宋体"/>
          <w:sz w:val="24"/>
          <w:szCs w:val="24"/>
          <w:lang w:val="en-US" w:eastAsia="zh-CN"/>
        </w:rPr>
      </w:pPr>
    </w:p>
    <w:tbl>
      <w:tblPr>
        <w:tblStyle w:val="6"/>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108"/>
        <w:gridCol w:w="573"/>
        <w:gridCol w:w="920"/>
        <w:gridCol w:w="654"/>
        <w:gridCol w:w="1160"/>
        <w:gridCol w:w="720"/>
        <w:gridCol w:w="893"/>
        <w:gridCol w:w="855"/>
        <w:gridCol w:w="905"/>
        <w:gridCol w:w="734"/>
      </w:tblGrid>
      <w:tr w14:paraId="45D77B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8E94C">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字段名</w:t>
            </w:r>
          </w:p>
        </w:tc>
        <w:tc>
          <w:tcPr>
            <w:tcW w:w="3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1B7B8B">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tc</w:t>
            </w:r>
          </w:p>
        </w:tc>
        <w:tc>
          <w:tcPr>
            <w:tcW w:w="5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F09A0">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tc_area</w:t>
            </w:r>
          </w:p>
        </w:tc>
        <w:tc>
          <w:tcPr>
            <w:tcW w:w="3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C2ACB">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plot_no</w:t>
            </w:r>
          </w:p>
        </w:tc>
        <w:tc>
          <w:tcPr>
            <w:tcW w:w="6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4D7C2">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plot_area</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8AB3A">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tree_no</w:t>
            </w:r>
          </w:p>
        </w:tc>
        <w:tc>
          <w:tcPr>
            <w:tcW w:w="52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1DF97B">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tree_name</w:t>
            </w:r>
          </w:p>
        </w:tc>
        <w:tc>
          <w:tcPr>
            <w:tcW w:w="5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0D0670">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tree_age</w:t>
            </w:r>
          </w:p>
        </w:tc>
        <w:tc>
          <w:tcPr>
            <w:tcW w:w="5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6B302E">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tree_dbh</w:t>
            </w:r>
          </w:p>
        </w:tc>
        <w:tc>
          <w:tcPr>
            <w:tcW w:w="4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D619F">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tree_h</w:t>
            </w:r>
          </w:p>
        </w:tc>
      </w:tr>
      <w:tr w14:paraId="26C5D2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B2921">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字段类型</w:t>
            </w:r>
          </w:p>
        </w:tc>
        <w:tc>
          <w:tcPr>
            <w:tcW w:w="3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F9FDB">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long</w:t>
            </w:r>
          </w:p>
        </w:tc>
        <w:tc>
          <w:tcPr>
            <w:tcW w:w="5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23D1EA">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Double</w:t>
            </w:r>
          </w:p>
        </w:tc>
        <w:tc>
          <w:tcPr>
            <w:tcW w:w="3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B1279">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long</w:t>
            </w:r>
          </w:p>
        </w:tc>
        <w:tc>
          <w:tcPr>
            <w:tcW w:w="6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E1AC5">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Double</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29973">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lang w:val="en-US" w:eastAsia="zh-CN"/>
              </w:rPr>
            </w:pPr>
            <w:r>
              <w:rPr>
                <w:rFonts w:hint="default" w:ascii="Times New Roman" w:hAnsi="Times New Roman" w:eastAsia="宋体" w:cs="Times New Roman"/>
                <w:i w:val="0"/>
                <w:iCs w:val="0"/>
                <w:color w:val="000000"/>
                <w:sz w:val="20"/>
                <w:szCs w:val="20"/>
                <w:u w:val="none"/>
                <w:lang w:val="en-US" w:eastAsia="zh-CN"/>
              </w:rPr>
              <w:t>long</w:t>
            </w:r>
          </w:p>
        </w:tc>
        <w:tc>
          <w:tcPr>
            <w:tcW w:w="52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B843A">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C(12)</w:t>
            </w:r>
          </w:p>
        </w:tc>
        <w:tc>
          <w:tcPr>
            <w:tcW w:w="5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20492">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Double</w:t>
            </w:r>
          </w:p>
        </w:tc>
        <w:tc>
          <w:tcPr>
            <w:tcW w:w="5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99EB0">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Double</w:t>
            </w:r>
          </w:p>
        </w:tc>
        <w:tc>
          <w:tcPr>
            <w:tcW w:w="4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12574">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Double</w:t>
            </w:r>
          </w:p>
        </w:tc>
      </w:tr>
      <w:tr w14:paraId="51B79B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0"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96E3FE">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字段解释</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01AA5">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碳层</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AAD1A">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碳层面积(hm2)</w:t>
            </w:r>
          </w:p>
        </w:tc>
        <w:tc>
          <w:tcPr>
            <w:tcW w:w="3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B87299">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样地号</w:t>
            </w:r>
          </w:p>
        </w:tc>
        <w:tc>
          <w:tcPr>
            <w:tcW w:w="6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6C7E4">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样地面积(hm2)</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01D21A">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测树号</w:t>
            </w:r>
          </w:p>
        </w:tc>
        <w:tc>
          <w:tcPr>
            <w:tcW w:w="5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EB689">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树种名称</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11F02">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树龄</w:t>
            </w:r>
          </w:p>
        </w:tc>
        <w:tc>
          <w:tcPr>
            <w:tcW w:w="5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52FF4">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胸径(cm)</w:t>
            </w:r>
          </w:p>
        </w:tc>
        <w:tc>
          <w:tcPr>
            <w:tcW w:w="4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EC1B7">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树高(m)</w:t>
            </w:r>
          </w:p>
        </w:tc>
      </w:tr>
      <w:tr w14:paraId="0660FB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614B1">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列样数据</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FDFCD">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CCD91">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1800</w:t>
            </w:r>
          </w:p>
        </w:tc>
        <w:tc>
          <w:tcPr>
            <w:tcW w:w="3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366F0">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6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1196E">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0.0667</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8F586">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5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5C0D7">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米槠</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0AFA8A">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36</w:t>
            </w:r>
          </w:p>
        </w:tc>
        <w:tc>
          <w:tcPr>
            <w:tcW w:w="5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0A3A9">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22</w:t>
            </w:r>
          </w:p>
        </w:tc>
        <w:tc>
          <w:tcPr>
            <w:tcW w:w="4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13BA9F">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15</w:t>
            </w:r>
          </w:p>
        </w:tc>
      </w:tr>
      <w:tr w14:paraId="0374AE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021B1">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列样数据</w:t>
            </w:r>
          </w:p>
        </w:tc>
        <w:tc>
          <w:tcPr>
            <w:tcW w:w="3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10023">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5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6D11E">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1800</w:t>
            </w:r>
          </w:p>
        </w:tc>
        <w:tc>
          <w:tcPr>
            <w:tcW w:w="3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E5250">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6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3A9B18">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0.0667</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F5DE1">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w:t>
            </w:r>
          </w:p>
        </w:tc>
        <w:tc>
          <w:tcPr>
            <w:tcW w:w="52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AABDB">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木荷</w:t>
            </w:r>
          </w:p>
        </w:tc>
        <w:tc>
          <w:tcPr>
            <w:tcW w:w="5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EF0D8">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36</w:t>
            </w:r>
          </w:p>
        </w:tc>
        <w:tc>
          <w:tcPr>
            <w:tcW w:w="5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795F4">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37</w:t>
            </w:r>
          </w:p>
        </w:tc>
        <w:tc>
          <w:tcPr>
            <w:tcW w:w="4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D9063">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13</w:t>
            </w:r>
          </w:p>
        </w:tc>
      </w:tr>
      <w:tr w14:paraId="714F99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617F6">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列样数据</w:t>
            </w:r>
          </w:p>
        </w:tc>
        <w:tc>
          <w:tcPr>
            <w:tcW w:w="3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53A49">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5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F55F7">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1800</w:t>
            </w:r>
          </w:p>
        </w:tc>
        <w:tc>
          <w:tcPr>
            <w:tcW w:w="3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A8518">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6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14D43">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0.0667</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9E9AE">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4</w:t>
            </w:r>
          </w:p>
        </w:tc>
        <w:tc>
          <w:tcPr>
            <w:tcW w:w="52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22E43">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其它硬阔类</w:t>
            </w:r>
          </w:p>
        </w:tc>
        <w:tc>
          <w:tcPr>
            <w:tcW w:w="5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103F0">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36</w:t>
            </w:r>
          </w:p>
        </w:tc>
        <w:tc>
          <w:tcPr>
            <w:tcW w:w="5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F7B99">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17</w:t>
            </w:r>
          </w:p>
        </w:tc>
        <w:tc>
          <w:tcPr>
            <w:tcW w:w="4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0C8B95">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12</w:t>
            </w:r>
          </w:p>
        </w:tc>
      </w:tr>
      <w:tr w14:paraId="6E384A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D78952">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列样数据</w:t>
            </w:r>
          </w:p>
        </w:tc>
        <w:tc>
          <w:tcPr>
            <w:tcW w:w="3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DAB8A">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5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33E7B">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1800</w:t>
            </w:r>
          </w:p>
        </w:tc>
        <w:tc>
          <w:tcPr>
            <w:tcW w:w="3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D09A9">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6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6AE64">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0.0667</w:t>
            </w: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FD4BD8">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8</w:t>
            </w:r>
          </w:p>
        </w:tc>
        <w:tc>
          <w:tcPr>
            <w:tcW w:w="52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AB66D">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其它硬阔类</w:t>
            </w:r>
          </w:p>
        </w:tc>
        <w:tc>
          <w:tcPr>
            <w:tcW w:w="5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4A649">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36</w:t>
            </w:r>
          </w:p>
        </w:tc>
        <w:tc>
          <w:tcPr>
            <w:tcW w:w="5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11211">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21</w:t>
            </w:r>
          </w:p>
        </w:tc>
        <w:tc>
          <w:tcPr>
            <w:tcW w:w="43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29962">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12</w:t>
            </w:r>
          </w:p>
        </w:tc>
      </w:tr>
    </w:tbl>
    <w:p w14:paraId="44A96ADA">
      <w:pPr>
        <w:snapToGrid/>
        <w:spacing w:before="260" w:beforeAutospacing="0" w:after="260" w:afterAutospacing="0" w:line="416" w:lineRule="auto"/>
        <w:ind w:left="0" w:leftChars="0" w:right="0" w:rightChars="0" w:firstLine="0" w:firstLineChars="0"/>
        <w:jc w:val="left"/>
        <w:outlineLvl w:val="1"/>
        <w:rPr>
          <w:rFonts w:hint="eastAsia" w:ascii="Times New Roman" w:eastAsia="黑体"/>
          <w:b/>
          <w:color w:val="auto"/>
          <w:sz w:val="30"/>
          <w:lang w:val="en-US" w:eastAsia="zh-CN"/>
        </w:rPr>
      </w:pPr>
      <w:bookmarkStart w:id="14" w:name="_Toc9974"/>
      <w:r>
        <w:rPr>
          <w:rFonts w:hint="eastAsia" w:ascii="Times New Roman" w:eastAsia="黑体"/>
          <w:b/>
          <w:color w:val="auto"/>
          <w:sz w:val="30"/>
          <w:lang w:val="en-US" w:eastAsia="zh-CN"/>
        </w:rPr>
        <w:t>4.3  导入火烧数据</w:t>
      </w:r>
      <w:bookmarkEnd w:id="14"/>
    </w:p>
    <w:p w14:paraId="20278343">
      <w:pPr>
        <w:snapToGrid/>
        <w:spacing w:beforeAutospacing="0" w:afterAutospacing="0" w:line="288" w:lineRule="auto"/>
        <w:ind w:left="0" w:leftChars="0" w:right="0" w:rightChars="0" w:firstLine="482" w:firstLineChars="0"/>
        <w:jc w:val="both"/>
        <w:rPr>
          <w:rFonts w:hint="eastAsia" w:ascii="Times New Roman" w:eastAsia="宋体"/>
          <w:color w:val="auto"/>
          <w:sz w:val="24"/>
          <w:lang w:val="en-US" w:eastAsia="zh-CN"/>
        </w:rPr>
      </w:pPr>
      <w:r>
        <w:rPr>
          <w:rFonts w:hint="eastAsia" w:ascii="Times New Roman" w:eastAsia="宋体"/>
          <w:color w:val="auto"/>
          <w:sz w:val="24"/>
          <w:lang w:val="en-US" w:eastAsia="zh-CN"/>
        </w:rPr>
        <w:t>未发生火烧的，无需导入数据。导入的样地数据需包含样地调查的主要数据，格式为Dbase3（.dbf）格式。样地数据需包含：碳层号（TC）、火烧类型（HSLX）、燃烧土地面积（ABURN）、烧除比例（RBURN），非首次核查，还需最近一次核查时发生火烧所在碳层的单位地上生物量（AGBitv,（t d.m.·hm</w:t>
      </w:r>
      <w:r>
        <w:rPr>
          <w:rFonts w:hint="eastAsia" w:ascii="Times New Roman" w:eastAsia="宋体"/>
          <w:color w:val="auto"/>
          <w:sz w:val="24"/>
          <w:vertAlign w:val="superscript"/>
          <w:lang w:val="en-US" w:eastAsia="zh-CN"/>
        </w:rPr>
        <w:t>-2</w:t>
      </w:r>
      <w:r>
        <w:rPr>
          <w:rFonts w:hint="eastAsia" w:ascii="Times New Roman" w:eastAsia="宋体"/>
          <w:color w:val="auto"/>
          <w:sz w:val="24"/>
          <w:lang w:val="en-US" w:eastAsia="zh-CN"/>
        </w:rPr>
        <w:t>）、单位枯死木物（DWitv,td.m.·hm</w:t>
      </w:r>
      <w:r>
        <w:rPr>
          <w:rFonts w:hint="eastAsia" w:ascii="Times New Roman" w:eastAsia="宋体"/>
          <w:color w:val="auto"/>
          <w:sz w:val="24"/>
          <w:vertAlign w:val="superscript"/>
          <w:lang w:val="en-US" w:eastAsia="zh-CN"/>
        </w:rPr>
        <w:t>-2</w:t>
      </w:r>
      <w:r>
        <w:rPr>
          <w:rFonts w:hint="eastAsia" w:ascii="Times New Roman" w:eastAsia="宋体"/>
          <w:color w:val="auto"/>
          <w:sz w:val="24"/>
          <w:lang w:val="en-US" w:eastAsia="zh-CN"/>
        </w:rPr>
        <w:t>）、单位枯落物（Litv,td.m.·hm</w:t>
      </w:r>
      <w:r>
        <w:rPr>
          <w:rFonts w:hint="eastAsia" w:ascii="Times New Roman" w:eastAsia="宋体"/>
          <w:color w:val="auto"/>
          <w:sz w:val="24"/>
          <w:vertAlign w:val="superscript"/>
          <w:lang w:val="en-US" w:eastAsia="zh-CN"/>
        </w:rPr>
        <w:t>-2</w:t>
      </w:r>
      <w:r>
        <w:rPr>
          <w:rFonts w:hint="eastAsia" w:ascii="Times New Roman" w:eastAsia="宋体"/>
          <w:color w:val="auto"/>
          <w:sz w:val="24"/>
          <w:lang w:val="en-US" w:eastAsia="zh-CN"/>
        </w:rPr>
        <w:t xml:space="preserve">）。 </w:t>
      </w:r>
    </w:p>
    <w:p w14:paraId="2CA5363F">
      <w:pPr>
        <w:snapToGrid/>
        <w:spacing w:beforeAutospacing="0" w:afterAutospacing="0" w:line="288" w:lineRule="auto"/>
        <w:ind w:left="0" w:leftChars="0" w:right="0" w:rightChars="0" w:firstLine="482" w:firstLineChars="0"/>
        <w:jc w:val="both"/>
        <w:rPr>
          <w:rFonts w:hint="default" w:ascii="Times New Roman" w:eastAsia="宋体"/>
          <w:color w:val="auto"/>
          <w:sz w:val="24"/>
          <w:lang w:val="en-US" w:eastAsia="zh-CN"/>
        </w:rPr>
      </w:pPr>
      <w:r>
        <w:rPr>
          <w:rFonts w:hint="eastAsia" w:ascii="Times New Roman" w:eastAsia="宋体"/>
          <w:color w:val="auto"/>
          <w:sz w:val="24"/>
          <w:lang w:val="en-US" w:eastAsia="zh-CN"/>
        </w:rPr>
        <w:t>火烧数据只填写2020年9月22日起发生的火烧，之前发生的不填写。但需要根据异质性将发生火灾的地块重新单独划分碳层并增加样地核查。</w:t>
      </w:r>
    </w:p>
    <w:p w14:paraId="1358FA2E">
      <w:pPr>
        <w:snapToGrid/>
        <w:spacing w:beforeAutospacing="0" w:afterAutospacing="0" w:line="288" w:lineRule="auto"/>
        <w:ind w:left="0" w:leftChars="0" w:right="0" w:rightChars="0" w:firstLine="482" w:firstLineChars="0"/>
        <w:jc w:val="both"/>
        <w:rPr>
          <w:rFonts w:hint="eastAsia" w:ascii="Times New Roman" w:eastAsia="宋体"/>
          <w:color w:val="auto"/>
          <w:sz w:val="24"/>
          <w:lang w:val="en-US" w:eastAsia="zh-CN"/>
        </w:rPr>
      </w:pPr>
      <w:r>
        <w:rPr>
          <w:rFonts w:hint="eastAsia" w:ascii="Times New Roman" w:eastAsia="宋体"/>
          <w:color w:val="auto"/>
          <w:sz w:val="24"/>
          <w:lang w:val="en-US" w:eastAsia="zh-CN"/>
        </w:rPr>
        <w:t>导入火烧数据时，对会导入的数据进行质量检查，质检不合格的需要在原DBF数据中修正后再导入。</w:t>
      </w:r>
    </w:p>
    <w:p w14:paraId="5241906E">
      <w:pPr>
        <w:snapToGrid/>
        <w:spacing w:beforeAutospacing="0" w:afterAutospacing="0" w:line="288" w:lineRule="auto"/>
        <w:ind w:left="0" w:leftChars="0" w:right="0" w:rightChars="0" w:firstLine="482" w:firstLineChars="0"/>
        <w:jc w:val="both"/>
        <w:rPr>
          <w:rFonts w:hint="eastAsia" w:ascii="Times New Roman" w:hAnsi="宋体" w:eastAsia="宋体" w:cs="宋体"/>
          <w:sz w:val="24"/>
          <w:szCs w:val="24"/>
          <w:lang w:val="en-US" w:eastAsia="zh-CN"/>
        </w:rPr>
      </w:pPr>
      <w:r>
        <w:rPr>
          <w:rFonts w:hint="eastAsia" w:ascii="Times New Roman" w:hAnsi="宋体" w:eastAsia="宋体" w:cs="宋体"/>
          <w:sz w:val="24"/>
          <w:szCs w:val="24"/>
          <w:lang w:val="en-US" w:eastAsia="zh-CN"/>
        </w:rPr>
        <w:t>森林火灾输入数据表格式：</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1"/>
        <w:gridCol w:w="1260"/>
        <w:gridCol w:w="6021"/>
      </w:tblGrid>
      <w:tr w14:paraId="05C63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tcPr>
          <w:p w14:paraId="45BE56E6">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字段名称</w:t>
            </w:r>
          </w:p>
        </w:tc>
        <w:tc>
          <w:tcPr>
            <w:tcW w:w="1260" w:type="dxa"/>
          </w:tcPr>
          <w:p w14:paraId="7DBC4821">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数据类型</w:t>
            </w:r>
          </w:p>
        </w:tc>
        <w:tc>
          <w:tcPr>
            <w:tcW w:w="6021" w:type="dxa"/>
          </w:tcPr>
          <w:p w14:paraId="38C54FB8">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说明</w:t>
            </w:r>
          </w:p>
        </w:tc>
      </w:tr>
      <w:tr w14:paraId="3973C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tcPr>
          <w:p w14:paraId="37A76185">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TC</w:t>
            </w:r>
          </w:p>
        </w:tc>
        <w:tc>
          <w:tcPr>
            <w:tcW w:w="1260" w:type="dxa"/>
          </w:tcPr>
          <w:p w14:paraId="310F62B8">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LONG</w:t>
            </w:r>
          </w:p>
        </w:tc>
        <w:tc>
          <w:tcPr>
            <w:tcW w:w="6021" w:type="dxa"/>
          </w:tcPr>
          <w:p w14:paraId="76E43889">
            <w:pPr>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碳层号</w:t>
            </w:r>
          </w:p>
        </w:tc>
      </w:tr>
      <w:tr w14:paraId="273E6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vAlign w:val="top"/>
          </w:tcPr>
          <w:p w14:paraId="00DC9FD1">
            <w:pPr>
              <w:rPr>
                <w:rFonts w:hint="default" w:ascii="宋体" w:hAnsi="宋体" w:eastAsia="宋体" w:cs="宋体"/>
                <w:color w:val="FF0000"/>
                <w:sz w:val="24"/>
                <w:szCs w:val="24"/>
                <w:vertAlign w:val="baseline"/>
                <w:lang w:val="en-US" w:eastAsia="zh-CN"/>
              </w:rPr>
            </w:pPr>
            <w:r>
              <w:rPr>
                <w:rFonts w:hint="eastAsia" w:ascii="宋体" w:hAnsi="宋体" w:eastAsia="宋体" w:cs="宋体"/>
                <w:sz w:val="24"/>
                <w:szCs w:val="24"/>
                <w:vertAlign w:val="baseline"/>
                <w:lang w:val="en-US" w:eastAsia="zh-CN"/>
              </w:rPr>
              <w:t>HSLX</w:t>
            </w:r>
          </w:p>
        </w:tc>
        <w:tc>
          <w:tcPr>
            <w:tcW w:w="1260" w:type="dxa"/>
            <w:vAlign w:val="top"/>
          </w:tcPr>
          <w:p w14:paraId="49FC3C55">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C,10</w:t>
            </w:r>
          </w:p>
        </w:tc>
        <w:tc>
          <w:tcPr>
            <w:tcW w:w="6021" w:type="dxa"/>
            <w:vAlign w:val="top"/>
          </w:tcPr>
          <w:p w14:paraId="642877C7">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火烧类型，森林火灾/人为火烧</w:t>
            </w:r>
          </w:p>
        </w:tc>
      </w:tr>
      <w:tr w14:paraId="492F0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vAlign w:val="top"/>
          </w:tcPr>
          <w:p w14:paraId="47F07085">
            <w:pPr>
              <w:rPr>
                <w:rFonts w:hint="default" w:ascii="宋体" w:hAnsi="宋体" w:eastAsia="宋体" w:cs="宋体"/>
                <w:color w:val="FF0000"/>
                <w:sz w:val="24"/>
                <w:szCs w:val="24"/>
                <w:vertAlign w:val="baseline"/>
                <w:lang w:val="en-US" w:eastAsia="zh-CN"/>
              </w:rPr>
            </w:pPr>
            <w:r>
              <w:rPr>
                <w:rFonts w:hint="eastAsia" w:ascii="宋体" w:hAnsi="宋体" w:eastAsia="宋体" w:cs="宋体"/>
                <w:sz w:val="24"/>
                <w:szCs w:val="24"/>
                <w:vertAlign w:val="baseline"/>
                <w:lang w:val="en-US" w:eastAsia="zh-CN"/>
              </w:rPr>
              <w:t>ABURN</w:t>
            </w:r>
          </w:p>
        </w:tc>
        <w:tc>
          <w:tcPr>
            <w:tcW w:w="1260" w:type="dxa"/>
            <w:vAlign w:val="top"/>
          </w:tcPr>
          <w:p w14:paraId="15922A03">
            <w:pPr>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DOUBLE</w:t>
            </w:r>
          </w:p>
        </w:tc>
        <w:tc>
          <w:tcPr>
            <w:tcW w:w="6021" w:type="dxa"/>
            <w:vAlign w:val="top"/>
          </w:tcPr>
          <w:p w14:paraId="329C4929">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项目碳层发生燃烧的土地面积，单位为公顷，森林火灾时填写</w:t>
            </w:r>
          </w:p>
        </w:tc>
      </w:tr>
      <w:tr w14:paraId="42669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vAlign w:val="top"/>
          </w:tcPr>
          <w:p w14:paraId="6A5A90C3">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RBURN</w:t>
            </w:r>
          </w:p>
        </w:tc>
        <w:tc>
          <w:tcPr>
            <w:tcW w:w="1260" w:type="dxa"/>
            <w:vAlign w:val="top"/>
          </w:tcPr>
          <w:p w14:paraId="5EE3246D">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DOUBLE</w:t>
            </w:r>
          </w:p>
        </w:tc>
        <w:tc>
          <w:tcPr>
            <w:tcW w:w="6021" w:type="dxa"/>
            <w:vAlign w:val="top"/>
          </w:tcPr>
          <w:p w14:paraId="13D45D2A">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项目碳层内烧除病原疫木的数量占该碳层的比例（如蓄积量比例或株数比例），单位为百分比（%）,疫木清除时填写</w:t>
            </w:r>
          </w:p>
        </w:tc>
      </w:tr>
      <w:tr w14:paraId="77987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vAlign w:val="top"/>
          </w:tcPr>
          <w:p w14:paraId="5670567F">
            <w:pPr>
              <w:rPr>
                <w:rFonts w:hint="eastAsia" w:ascii="宋体" w:hAnsi="宋体" w:eastAsia="宋体" w:cs="宋体"/>
                <w:kern w:val="2"/>
                <w:sz w:val="24"/>
                <w:szCs w:val="24"/>
                <w:vertAlign w:val="baseline"/>
                <w:lang w:val="en-US" w:eastAsia="zh-CN" w:bidi="ar-SA"/>
              </w:rPr>
            </w:pPr>
            <w:r>
              <w:rPr>
                <w:rFonts w:hint="eastAsia" w:ascii="宋体" w:hAnsi="宋体" w:eastAsia="宋体" w:cs="宋体"/>
                <w:i w:val="0"/>
                <w:iCs w:val="0"/>
                <w:color w:val="000000"/>
                <w:kern w:val="0"/>
                <w:sz w:val="22"/>
                <w:szCs w:val="22"/>
                <w:u w:val="none"/>
                <w:lang w:val="en-US" w:eastAsia="zh-CN" w:bidi="ar"/>
              </w:rPr>
              <w:t>AGBitv</w:t>
            </w:r>
          </w:p>
        </w:tc>
        <w:tc>
          <w:tcPr>
            <w:tcW w:w="1260" w:type="dxa"/>
            <w:vAlign w:val="top"/>
          </w:tcPr>
          <w:p w14:paraId="5307D624">
            <w:pPr>
              <w:rPr>
                <w:rFonts w:hint="eastAsia" w:ascii="宋体" w:hAnsi="宋体" w:eastAsia="宋体" w:cs="宋体"/>
                <w:kern w:val="2"/>
                <w:sz w:val="24"/>
                <w:szCs w:val="24"/>
                <w:vertAlign w:val="baseline"/>
                <w:lang w:val="en-US" w:eastAsia="zh-CN" w:bidi="ar-SA"/>
              </w:rPr>
            </w:pPr>
            <w:r>
              <w:rPr>
                <w:rFonts w:hint="eastAsia" w:ascii="宋体" w:hAnsi="宋体" w:eastAsia="宋体" w:cs="宋体"/>
                <w:sz w:val="24"/>
                <w:szCs w:val="24"/>
                <w:vertAlign w:val="baseline"/>
                <w:lang w:val="en-US" w:eastAsia="zh-CN"/>
              </w:rPr>
              <w:t>DOUBLE</w:t>
            </w:r>
          </w:p>
        </w:tc>
        <w:tc>
          <w:tcPr>
            <w:tcW w:w="6021" w:type="dxa"/>
            <w:vAlign w:val="top"/>
          </w:tcPr>
          <w:p w14:paraId="6C5110E1">
            <w:pPr>
              <w:rPr>
                <w:rFonts w:hint="eastAsia" w:ascii="宋体" w:hAnsi="宋体" w:eastAsia="宋体" w:cs="宋体"/>
                <w:kern w:val="2"/>
                <w:sz w:val="24"/>
                <w:szCs w:val="24"/>
                <w:vertAlign w:val="baseline"/>
                <w:lang w:val="en-US" w:eastAsia="zh-CN" w:bidi="ar-SA"/>
              </w:rPr>
            </w:pPr>
            <w:r>
              <w:rPr>
                <w:rFonts w:hint="eastAsia" w:ascii="宋体" w:hAnsi="宋体" w:eastAsia="宋体" w:cs="宋体"/>
                <w:kern w:val="2"/>
                <w:sz w:val="24"/>
                <w:szCs w:val="24"/>
                <w:vertAlign w:val="baseline"/>
                <w:lang w:val="en-US" w:eastAsia="zh-CN" w:bidi="ar-SA"/>
              </w:rPr>
              <w:t>项目碳层近一次核查时的地上生物量，单位为吨每公顷（t d.m.·hm-2）,首次核查不填写。</w:t>
            </w:r>
          </w:p>
        </w:tc>
      </w:tr>
      <w:tr w14:paraId="7CABE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tcPr>
          <w:p w14:paraId="50E1BE18">
            <w:pPr>
              <w:rPr>
                <w:rFonts w:hint="default" w:ascii="宋体" w:hAnsi="宋体" w:eastAsia="宋体" w:cs="宋体"/>
                <w:sz w:val="24"/>
                <w:szCs w:val="24"/>
                <w:vertAlign w:val="baseline"/>
                <w:lang w:val="en-US" w:eastAsia="zh-CN"/>
              </w:rPr>
            </w:pPr>
            <w:r>
              <w:rPr>
                <w:rFonts w:hint="eastAsia" w:ascii="宋体" w:hAnsi="宋体" w:eastAsia="宋体" w:cs="宋体"/>
                <w:i w:val="0"/>
                <w:iCs w:val="0"/>
                <w:color w:val="000000"/>
                <w:kern w:val="0"/>
                <w:sz w:val="22"/>
                <w:szCs w:val="22"/>
                <w:u w:val="none"/>
                <w:lang w:val="en-US" w:eastAsia="zh-CN" w:bidi="ar"/>
              </w:rPr>
              <w:t>DWitv</w:t>
            </w:r>
          </w:p>
        </w:tc>
        <w:tc>
          <w:tcPr>
            <w:tcW w:w="1260" w:type="dxa"/>
          </w:tcPr>
          <w:p w14:paraId="787A75F7">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DOUBLE</w:t>
            </w:r>
          </w:p>
        </w:tc>
        <w:tc>
          <w:tcPr>
            <w:tcW w:w="6021" w:type="dxa"/>
          </w:tcPr>
          <w:p w14:paraId="3E65D0D3">
            <w:pPr>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项目碳层近一次核查时的的枯死木单位面积干物质量，单位为吨每公顷（t d.m.·hm-2）,首次核查不填写。</w:t>
            </w:r>
          </w:p>
        </w:tc>
      </w:tr>
      <w:tr w14:paraId="62E5B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1" w:type="dxa"/>
          </w:tcPr>
          <w:p w14:paraId="21AF1F53">
            <w:pPr>
              <w:rPr>
                <w:rFonts w:hint="default" w:ascii="宋体" w:hAnsi="宋体" w:eastAsia="宋体" w:cs="宋体"/>
                <w:sz w:val="24"/>
                <w:szCs w:val="24"/>
                <w:vertAlign w:val="baseline"/>
                <w:lang w:val="en-US" w:eastAsia="zh-CN"/>
              </w:rPr>
            </w:pPr>
            <w:r>
              <w:rPr>
                <w:rFonts w:hint="eastAsia" w:ascii="宋体" w:hAnsi="宋体" w:eastAsia="宋体" w:cs="宋体"/>
                <w:i w:val="0"/>
                <w:iCs w:val="0"/>
                <w:color w:val="000000"/>
                <w:kern w:val="0"/>
                <w:sz w:val="22"/>
                <w:szCs w:val="22"/>
                <w:u w:val="none"/>
                <w:lang w:val="en-US" w:eastAsia="zh-CN" w:bidi="ar"/>
              </w:rPr>
              <w:t>Litv</w:t>
            </w:r>
          </w:p>
        </w:tc>
        <w:tc>
          <w:tcPr>
            <w:tcW w:w="1260" w:type="dxa"/>
          </w:tcPr>
          <w:p w14:paraId="2B61EA59">
            <w:pPr>
              <w:rPr>
                <w:rFonts w:hint="default"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DOUBLE</w:t>
            </w:r>
          </w:p>
        </w:tc>
        <w:tc>
          <w:tcPr>
            <w:tcW w:w="6021" w:type="dxa"/>
          </w:tcPr>
          <w:p w14:paraId="3ED937F4">
            <w:pPr>
              <w:rPr>
                <w:rFonts w:hint="eastAsia" w:ascii="宋体" w:hAnsi="宋体" w:eastAsia="宋体" w:cs="宋体"/>
                <w:sz w:val="24"/>
                <w:szCs w:val="24"/>
                <w:vertAlign w:val="baseline"/>
                <w:lang w:val="en-US" w:eastAsia="zh-CN"/>
              </w:rPr>
            </w:pPr>
            <w:r>
              <w:rPr>
                <w:rFonts w:hint="eastAsia" w:ascii="宋体" w:hAnsi="宋体" w:eastAsia="宋体" w:cs="宋体"/>
                <w:sz w:val="24"/>
                <w:szCs w:val="24"/>
                <w:vertAlign w:val="baseline"/>
                <w:lang w:val="en-US" w:eastAsia="zh-CN"/>
              </w:rPr>
              <w:t>项目碳层近一次核查时的的枯落物单位面积干物质量，单位为吨每公顷（t d.m.·hm-2）,首次核查不填写。</w:t>
            </w:r>
          </w:p>
        </w:tc>
      </w:tr>
    </w:tbl>
    <w:p w14:paraId="6E297E28">
      <w:pPr>
        <w:snapToGrid/>
        <w:spacing w:beforeAutospacing="0" w:afterAutospacing="0" w:line="288" w:lineRule="auto"/>
        <w:ind w:left="0" w:leftChars="0" w:right="0" w:rightChars="0" w:firstLine="482" w:firstLineChars="0"/>
        <w:jc w:val="both"/>
        <w:rPr>
          <w:rFonts w:hint="eastAsia" w:ascii="Times New Roman" w:hAnsi="宋体" w:eastAsia="宋体" w:cs="宋体"/>
          <w:sz w:val="24"/>
          <w:szCs w:val="24"/>
          <w:lang w:val="en-US" w:eastAsia="zh-CN"/>
        </w:rPr>
      </w:pPr>
    </w:p>
    <w:p w14:paraId="61BA353F">
      <w:pPr>
        <w:snapToGrid/>
        <w:spacing w:beforeAutospacing="0" w:afterAutospacing="0" w:line="288" w:lineRule="auto"/>
        <w:ind w:left="0" w:leftChars="0" w:right="0" w:rightChars="0" w:firstLine="482" w:firstLineChars="0"/>
        <w:jc w:val="both"/>
        <w:rPr>
          <w:rFonts w:hint="default" w:ascii="Times New Roman" w:hAnsi="宋体" w:eastAsia="宋体" w:cs="宋体"/>
          <w:sz w:val="24"/>
          <w:szCs w:val="24"/>
          <w:lang w:val="en-US" w:eastAsia="zh-CN"/>
        </w:rPr>
      </w:pPr>
      <w:r>
        <w:rPr>
          <w:rFonts w:hint="eastAsia" w:ascii="Times New Roman" w:hAnsi="宋体" w:eastAsia="宋体" w:cs="宋体"/>
          <w:sz w:val="24"/>
          <w:szCs w:val="24"/>
          <w:lang w:val="en-US" w:eastAsia="zh-CN"/>
        </w:rPr>
        <w:t>样例：</w:t>
      </w:r>
    </w:p>
    <w:tbl>
      <w:tblPr>
        <w:tblStyle w:val="6"/>
        <w:tblW w:w="8772"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96"/>
        <w:gridCol w:w="732"/>
        <w:gridCol w:w="1096"/>
        <w:gridCol w:w="876"/>
        <w:gridCol w:w="996"/>
        <w:gridCol w:w="1272"/>
        <w:gridCol w:w="1416"/>
        <w:gridCol w:w="1392"/>
      </w:tblGrid>
      <w:tr w14:paraId="246AB8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0D7A4">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字段名</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CFD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tc</w:t>
            </w:r>
          </w:p>
        </w:tc>
        <w:tc>
          <w:tcPr>
            <w:tcW w:w="10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95F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hslx</w:t>
            </w:r>
          </w:p>
        </w:tc>
        <w:tc>
          <w:tcPr>
            <w:tcW w:w="8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BB1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aburn</w:t>
            </w:r>
          </w:p>
        </w:tc>
        <w:tc>
          <w:tcPr>
            <w:tcW w:w="9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CB2F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rburn</w:t>
            </w:r>
          </w:p>
        </w:tc>
        <w:tc>
          <w:tcPr>
            <w:tcW w:w="12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A2F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agbitv</w:t>
            </w:r>
          </w:p>
        </w:tc>
        <w:tc>
          <w:tcPr>
            <w:tcW w:w="14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7FE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dwitv</w:t>
            </w:r>
          </w:p>
        </w:tc>
        <w:tc>
          <w:tcPr>
            <w:tcW w:w="13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872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litv</w:t>
            </w:r>
          </w:p>
        </w:tc>
      </w:tr>
      <w:tr w14:paraId="0AE2B8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CBA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字段类型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6E9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long</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AAA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EE2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double</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1796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double</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E0A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double</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C3B5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double</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323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double</w:t>
            </w:r>
          </w:p>
        </w:tc>
      </w:tr>
      <w:tr w14:paraId="212E31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0" w:hRule="atLeast"/>
        </w:trPr>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336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字段解释</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3DC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碳层号</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8EC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火烧类型</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EE2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火灾面积</w:t>
            </w:r>
          </w:p>
        </w:tc>
        <w:tc>
          <w:tcPr>
            <w:tcW w:w="9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015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烧除疫木数量比例</w:t>
            </w:r>
          </w:p>
        </w:tc>
        <w:tc>
          <w:tcPr>
            <w:tcW w:w="12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107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最近监测单位地上生物量</w:t>
            </w:r>
          </w:p>
        </w:tc>
        <w:tc>
          <w:tcPr>
            <w:tcW w:w="1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401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最近监测枯死木单位干物质量</w:t>
            </w:r>
          </w:p>
        </w:tc>
        <w:tc>
          <w:tcPr>
            <w:tcW w:w="13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866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最近监测枯落物单位干物质量</w:t>
            </w:r>
          </w:p>
        </w:tc>
      </w:tr>
      <w:tr w14:paraId="4CE913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CBB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单位</w:t>
            </w:r>
          </w:p>
        </w:tc>
        <w:tc>
          <w:tcPr>
            <w:tcW w:w="7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30F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1DD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5F8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hm2</w:t>
            </w:r>
          </w:p>
        </w:tc>
        <w:tc>
          <w:tcPr>
            <w:tcW w:w="9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034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12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DB8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吨每公顷</w:t>
            </w:r>
          </w:p>
        </w:tc>
        <w:tc>
          <w:tcPr>
            <w:tcW w:w="1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ADF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吨每公顷</w:t>
            </w:r>
          </w:p>
        </w:tc>
        <w:tc>
          <w:tcPr>
            <w:tcW w:w="13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C55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吨每公顷</w:t>
            </w:r>
          </w:p>
        </w:tc>
      </w:tr>
      <w:tr w14:paraId="6EF444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83B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列样数据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B662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586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森林火灾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897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2.7665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7609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664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1A3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5B7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r>
      <w:tr w14:paraId="282636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811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列样数据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4B43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70D0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森林火灾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50B2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5.4323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CD17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D19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EFB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70A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r>
      <w:tr w14:paraId="256332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C40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列样数据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2AA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7FA1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人为火烧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64C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B61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AE8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3DE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00C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r>
    </w:tbl>
    <w:p w14:paraId="712EC57A">
      <w:pPr>
        <w:snapToGrid/>
        <w:spacing w:beforeAutospacing="0" w:afterAutospacing="0" w:line="288" w:lineRule="auto"/>
        <w:ind w:left="0" w:leftChars="0" w:right="0" w:rightChars="0" w:firstLine="482" w:firstLineChars="0"/>
        <w:jc w:val="both"/>
        <w:rPr>
          <w:rFonts w:hint="eastAsia" w:ascii="Times New Roman" w:hAnsi="宋体" w:eastAsia="宋体" w:cs="宋体"/>
          <w:sz w:val="24"/>
          <w:szCs w:val="24"/>
          <w:lang w:val="en-US" w:eastAsia="zh-CN"/>
        </w:rPr>
      </w:pPr>
    </w:p>
    <w:p w14:paraId="62288FBA">
      <w:pPr>
        <w:snapToGrid/>
        <w:spacing w:beforeAutospacing="0" w:afterAutospacing="0" w:line="288" w:lineRule="auto"/>
        <w:ind w:left="0" w:leftChars="0" w:right="0" w:rightChars="0" w:firstLine="482" w:firstLineChars="0"/>
        <w:jc w:val="both"/>
        <w:rPr>
          <w:rFonts w:hint="default" w:ascii="Times New Roman" w:eastAsia="宋体"/>
          <w:color w:val="auto"/>
          <w:sz w:val="24"/>
          <w:lang w:val="en-US" w:eastAsia="zh-CN"/>
        </w:rPr>
      </w:pPr>
      <w:r>
        <w:rPr>
          <w:rFonts w:hint="eastAsia" w:ascii="Times New Roman" w:hAnsi="宋体" w:eastAsia="宋体" w:cs="宋体"/>
          <w:i w:val="0"/>
          <w:iCs w:val="0"/>
          <w:color w:val="auto"/>
          <w:kern w:val="0"/>
          <w:sz w:val="24"/>
          <w:szCs w:val="22"/>
          <w:u w:val="none"/>
          <w:lang w:val="en-US" w:eastAsia="zh-CN" w:bidi="ar"/>
        </w:rPr>
        <w:t>注：最近一次监测只获得死有机质干物质数量，未分枯死木和枯落物时，可以将死有机质干物质数量填在其中一栏，另一栏填0，不影响结果；当得到的数据是碳储量数值时，干物质数量=碳储量/0.37。</w:t>
      </w:r>
    </w:p>
    <w:p w14:paraId="30F32064">
      <w:pPr>
        <w:snapToGrid/>
        <w:spacing w:before="260" w:beforeAutospacing="0" w:after="260" w:afterAutospacing="0" w:line="416" w:lineRule="auto"/>
        <w:ind w:left="0" w:leftChars="0" w:right="0" w:rightChars="0" w:firstLine="0" w:firstLineChars="0"/>
        <w:jc w:val="left"/>
        <w:outlineLvl w:val="1"/>
        <w:rPr>
          <w:rFonts w:hint="eastAsia" w:ascii="Times New Roman" w:eastAsia="黑体"/>
          <w:b/>
          <w:color w:val="auto"/>
          <w:sz w:val="30"/>
          <w:lang w:val="en-US" w:eastAsia="zh-CN"/>
        </w:rPr>
      </w:pPr>
      <w:bookmarkStart w:id="15" w:name="_Toc16026"/>
      <w:r>
        <w:rPr>
          <w:rFonts w:hint="eastAsia" w:ascii="Times New Roman" w:eastAsia="黑体"/>
          <w:b/>
          <w:color w:val="auto"/>
          <w:sz w:val="30"/>
          <w:lang w:val="en-US" w:eastAsia="zh-CN"/>
        </w:rPr>
        <w:t>4.4 碳汇量统计</w:t>
      </w:r>
      <w:bookmarkEnd w:id="15"/>
    </w:p>
    <w:p w14:paraId="4C838118">
      <w:pPr>
        <w:snapToGrid/>
        <w:spacing w:beforeAutospacing="0" w:afterAutospacing="0" w:line="288" w:lineRule="auto"/>
        <w:ind w:left="0" w:leftChars="0" w:right="0" w:rightChars="0" w:firstLine="482" w:firstLineChars="0"/>
        <w:jc w:val="both"/>
        <w:rPr>
          <w:rFonts w:hint="eastAsia" w:ascii="Times New Roman" w:eastAsia="宋体"/>
          <w:color w:val="auto"/>
          <w:sz w:val="24"/>
          <w:lang w:val="en-US" w:eastAsia="zh-CN"/>
        </w:rPr>
      </w:pPr>
      <w:r>
        <w:rPr>
          <w:rFonts w:hint="eastAsia" w:ascii="Times New Roman" w:eastAsia="宋体"/>
          <w:color w:val="auto"/>
          <w:sz w:val="24"/>
          <w:lang w:val="en-US" w:eastAsia="zh-CN"/>
        </w:rPr>
        <w:t>完成项目设置并导入样地和火烧数据后，可以开展碳汇量统计。</w:t>
      </w:r>
    </w:p>
    <w:p w14:paraId="261BCBEB">
      <w:pPr>
        <w:snapToGrid/>
        <w:spacing w:beforeAutospacing="0" w:afterAutospacing="0" w:line="288" w:lineRule="auto"/>
        <w:ind w:left="0" w:leftChars="0" w:right="0" w:rightChars="0" w:firstLine="482" w:firstLineChars="0"/>
        <w:jc w:val="both"/>
        <w:rPr>
          <w:rFonts w:hint="eastAsia" w:ascii="Times New Roman" w:eastAsia="宋体"/>
          <w:color w:val="auto"/>
          <w:sz w:val="24"/>
          <w:lang w:val="en-US" w:eastAsia="zh-CN"/>
        </w:rPr>
      </w:pPr>
      <w:r>
        <w:rPr>
          <w:rFonts w:hint="eastAsia" w:ascii="Times New Roman" w:eastAsia="宋体"/>
          <w:color w:val="auto"/>
          <w:sz w:val="24"/>
          <w:lang w:val="en-US" w:eastAsia="zh-CN"/>
        </w:rPr>
        <w:t>监测阶段碳汇量的统计主要流程为：单株——样地——碳层——项目。</w:t>
      </w:r>
    </w:p>
    <w:p w14:paraId="1F364A39">
      <w:pPr>
        <w:snapToGrid/>
        <w:spacing w:beforeAutospacing="0" w:afterAutospacing="0" w:line="288" w:lineRule="auto"/>
        <w:ind w:right="0" w:rightChars="0"/>
        <w:jc w:val="both"/>
      </w:pPr>
      <w:r>
        <w:drawing>
          <wp:inline distT="0" distB="0" distL="114300" distR="114300">
            <wp:extent cx="5266690" cy="2972435"/>
            <wp:effectExtent l="0" t="0" r="6350" b="14605"/>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15"/>
                    <a:stretch>
                      <a:fillRect/>
                    </a:stretch>
                  </pic:blipFill>
                  <pic:spPr>
                    <a:xfrm>
                      <a:off x="0" y="0"/>
                      <a:ext cx="5266690" cy="2972435"/>
                    </a:xfrm>
                    <a:prstGeom prst="rect">
                      <a:avLst/>
                    </a:prstGeom>
                    <a:noFill/>
                    <a:ln>
                      <a:noFill/>
                    </a:ln>
                  </pic:spPr>
                </pic:pic>
              </a:graphicData>
            </a:graphic>
          </wp:inline>
        </w:drawing>
      </w:r>
    </w:p>
    <w:p w14:paraId="2CDE2C3F">
      <w:pPr>
        <w:snapToGrid/>
        <w:spacing w:beforeAutospacing="0" w:afterAutospacing="0" w:line="288" w:lineRule="auto"/>
        <w:ind w:right="0" w:rightChars="0"/>
        <w:jc w:val="both"/>
        <w:rPr>
          <w:rFonts w:hint="eastAsia"/>
          <w:lang w:val="en-US" w:eastAsia="zh-CN"/>
        </w:rPr>
      </w:pPr>
      <w:r>
        <w:rPr>
          <w:rFonts w:hint="eastAsia"/>
          <w:lang w:val="en-US" w:eastAsia="zh-CN"/>
        </w:rPr>
        <w:t>此统计为一键统计，不仅计算从样木到项目的全过程碳储量、死有机质、土壤有机碳和木竹产品（按项目选项），还计算碳层方差、项目方差、不确定性、平衡基线生物质碳储量和死有机质碳储量、各碳库基准线碳储量、碳汇量扣减等所有需要的统计。</w:t>
      </w:r>
    </w:p>
    <w:p w14:paraId="5BB8D345">
      <w:pPr>
        <w:snapToGrid/>
        <w:spacing w:beforeAutospacing="0" w:afterAutospacing="0" w:line="288" w:lineRule="auto"/>
        <w:ind w:right="0" w:rightChars="0"/>
        <w:jc w:val="both"/>
        <w:rPr>
          <w:rFonts w:hint="default"/>
          <w:lang w:val="en-US" w:eastAsia="zh-CN"/>
        </w:rPr>
      </w:pPr>
      <w:r>
        <w:drawing>
          <wp:inline distT="0" distB="0" distL="114300" distR="114300">
            <wp:extent cx="5266690" cy="2972435"/>
            <wp:effectExtent l="0" t="0" r="6350" b="14605"/>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16"/>
                    <a:stretch>
                      <a:fillRect/>
                    </a:stretch>
                  </pic:blipFill>
                  <pic:spPr>
                    <a:xfrm>
                      <a:off x="0" y="0"/>
                      <a:ext cx="5266690" cy="2972435"/>
                    </a:xfrm>
                    <a:prstGeom prst="rect">
                      <a:avLst/>
                    </a:prstGeom>
                    <a:noFill/>
                    <a:ln>
                      <a:noFill/>
                    </a:ln>
                  </pic:spPr>
                </pic:pic>
              </a:graphicData>
            </a:graphic>
          </wp:inline>
        </w:drawing>
      </w:r>
    </w:p>
    <w:p w14:paraId="73014521">
      <w:pPr>
        <w:snapToGrid/>
        <w:spacing w:beforeAutospacing="0" w:afterAutospacing="0" w:line="288" w:lineRule="auto"/>
        <w:ind w:right="0" w:rightChars="0" w:firstLine="480" w:firstLineChars="200"/>
        <w:jc w:val="both"/>
        <w:rPr>
          <w:rFonts w:ascii="Times New Roman" w:eastAsia="宋体"/>
          <w:sz w:val="24"/>
        </w:rPr>
      </w:pPr>
      <w:r>
        <w:rPr>
          <w:rFonts w:hint="eastAsia" w:ascii="Times New Roman" w:eastAsia="宋体"/>
          <w:sz w:val="24"/>
          <w:lang w:val="en-US" w:eastAsia="zh-CN"/>
        </w:rPr>
        <w:t>不确定性不超过10%时，认为抽样合格，无需另行处理。</w:t>
      </w:r>
    </w:p>
    <w:p w14:paraId="7F6F99B6">
      <w:pPr>
        <w:snapToGrid/>
        <w:spacing w:before="260" w:beforeAutospacing="0" w:after="260" w:afterAutospacing="0" w:line="416" w:lineRule="auto"/>
        <w:ind w:left="0" w:leftChars="0" w:right="0" w:rightChars="0" w:firstLine="0" w:firstLineChars="0"/>
        <w:jc w:val="left"/>
        <w:outlineLvl w:val="1"/>
        <w:rPr>
          <w:rFonts w:hint="eastAsia" w:ascii="Times New Roman" w:eastAsia="黑体"/>
          <w:b/>
          <w:color w:val="auto"/>
          <w:sz w:val="30"/>
          <w:lang w:val="en-US" w:eastAsia="zh-CN"/>
        </w:rPr>
      </w:pPr>
      <w:bookmarkStart w:id="16" w:name="_Toc14411"/>
      <w:r>
        <w:rPr>
          <w:rFonts w:hint="eastAsia" w:ascii="Times New Roman" w:eastAsia="黑体"/>
          <w:b/>
          <w:color w:val="auto"/>
          <w:sz w:val="30"/>
          <w:lang w:val="en-US" w:eastAsia="zh-CN"/>
        </w:rPr>
        <w:t>4.5 数据导出</w:t>
      </w:r>
      <w:bookmarkEnd w:id="16"/>
    </w:p>
    <w:p w14:paraId="3C982177">
      <w:pPr>
        <w:snapToGrid/>
        <w:spacing w:beforeAutospacing="0" w:afterAutospacing="0" w:line="288" w:lineRule="auto"/>
        <w:ind w:left="0" w:leftChars="0" w:right="0" w:rightChars="0" w:firstLine="482" w:firstLineChars="0"/>
        <w:jc w:val="both"/>
        <w:rPr>
          <w:rFonts w:hint="default" w:ascii="Times New Roman" w:eastAsia="宋体"/>
          <w:sz w:val="24"/>
          <w:lang w:val="en-US" w:eastAsia="zh-CN"/>
        </w:rPr>
      </w:pPr>
      <w:r>
        <w:rPr>
          <w:rFonts w:hint="eastAsia" w:ascii="Times New Roman" w:eastAsia="宋体"/>
          <w:sz w:val="24"/>
          <w:lang w:val="en-US" w:eastAsia="zh-CN"/>
        </w:rPr>
        <w:t>点击“导出Excel表格”，数据导出为.xls格式。</w:t>
      </w:r>
    </w:p>
    <w:p w14:paraId="2332EBE6">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导出的电子表格默认名称为：碳汇项目监测碳汇量统计表.xls</w:t>
      </w:r>
    </w:p>
    <w:p w14:paraId="5EFE2CE5">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总共有8张表格，包含了数据录入和数据测算的过程文件。</w:t>
      </w:r>
    </w:p>
    <w:p w14:paraId="3F53AC5A">
      <w:pPr>
        <w:snapToGrid/>
        <w:spacing w:beforeAutospacing="0" w:afterAutospacing="0" w:line="288" w:lineRule="auto"/>
        <w:ind w:right="0" w:rightChars="0"/>
        <w:jc w:val="both"/>
        <w:rPr>
          <w:rFonts w:hint="eastAsia" w:ascii="Times New Roman" w:eastAsia="宋体"/>
          <w:sz w:val="24"/>
          <w:lang w:val="en-US" w:eastAsia="zh-CN"/>
        </w:rPr>
      </w:pPr>
      <w:r>
        <w:drawing>
          <wp:inline distT="0" distB="0" distL="114300" distR="114300">
            <wp:extent cx="5272405" cy="1778000"/>
            <wp:effectExtent l="0" t="0" r="635" b="508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17"/>
                    <a:stretch>
                      <a:fillRect/>
                    </a:stretch>
                  </pic:blipFill>
                  <pic:spPr>
                    <a:xfrm>
                      <a:off x="0" y="0"/>
                      <a:ext cx="5272405" cy="1778000"/>
                    </a:xfrm>
                    <a:prstGeom prst="rect">
                      <a:avLst/>
                    </a:prstGeom>
                    <a:noFill/>
                    <a:ln>
                      <a:noFill/>
                    </a:ln>
                  </pic:spPr>
                </pic:pic>
              </a:graphicData>
            </a:graphic>
          </wp:inline>
        </w:drawing>
      </w:r>
    </w:p>
    <w:p w14:paraId="1DEFAC00">
      <w:pPr>
        <w:ind w:left="0" w:leftChars="0" w:right="0" w:rightChars="0" w:firstLine="0" w:firstLineChars="0"/>
        <w:jc w:val="center"/>
        <w:rPr>
          <w:rFonts w:ascii="Times New Roman" w:eastAsia="宋体"/>
          <w:sz w:val="24"/>
        </w:rPr>
      </w:pPr>
    </w:p>
    <w:p w14:paraId="0E24002A">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样地调查表如果因数据量过大（超过65535条记录）而未导出，可以在系统自带的mdb中导出为dbf或xlsx格式。</w:t>
      </w:r>
    </w:p>
    <w:p w14:paraId="5813595D">
      <w:pPr>
        <w:keepNext w:val="0"/>
        <w:keepLines w:val="0"/>
        <w:pageBreakBefore w:val="0"/>
        <w:widowControl w:val="0"/>
        <w:kinsoku/>
        <w:wordWrap/>
        <w:overflowPunct/>
        <w:topLinePunct w:val="0"/>
        <w:autoSpaceDE/>
        <w:autoSpaceDN/>
        <w:bidi w:val="0"/>
        <w:adjustRightInd/>
        <w:snapToGrid/>
        <w:spacing w:before="220" w:beforeAutospacing="0" w:after="240" w:afterAutospacing="0" w:line="579" w:lineRule="auto"/>
        <w:ind w:left="0" w:leftChars="0" w:right="0" w:rightChars="0" w:firstLine="0" w:firstLineChars="0"/>
        <w:jc w:val="center"/>
        <w:textAlignment w:val="auto"/>
        <w:outlineLvl w:val="0"/>
        <w:rPr>
          <w:rFonts w:hint="eastAsia" w:ascii="Times New Roman" w:eastAsia="黑体"/>
          <w:b/>
          <w:color w:val="auto"/>
          <w:sz w:val="36"/>
          <w:lang w:val="en-US" w:eastAsia="zh-CN"/>
        </w:rPr>
      </w:pPr>
      <w:bookmarkStart w:id="17" w:name="_Toc13712"/>
      <w:r>
        <w:rPr>
          <w:rFonts w:hint="eastAsia" w:ascii="Times New Roman" w:eastAsia="黑体"/>
          <w:b/>
          <w:color w:val="auto"/>
          <w:sz w:val="36"/>
          <w:lang w:val="en-US" w:eastAsia="zh-CN"/>
        </w:rPr>
        <w:t>5 工具说明</w:t>
      </w:r>
      <w:bookmarkEnd w:id="17"/>
    </w:p>
    <w:p w14:paraId="036B0D93">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r>
        <w:rPr>
          <w:rFonts w:hint="eastAsia" w:ascii="Times New Roman" w:eastAsia="宋体"/>
          <w:sz w:val="24"/>
          <w:lang w:val="en-US" w:eastAsia="zh-CN"/>
        </w:rPr>
        <w:t>说明中进行了一些使用约定，请予详细了解，以免造成损失或不必要的重复工作。</w:t>
      </w:r>
    </w:p>
    <w:p w14:paraId="5AEAEA5F">
      <w:pPr>
        <w:snapToGrid/>
        <w:spacing w:beforeAutospacing="0" w:afterAutospacing="0" w:line="288" w:lineRule="auto"/>
        <w:ind w:left="0" w:leftChars="0" w:right="0" w:rightChars="0" w:firstLine="482" w:firstLineChars="0"/>
        <w:jc w:val="both"/>
        <w:rPr>
          <w:rFonts w:hint="default" w:ascii="Times New Roman" w:eastAsia="宋体"/>
          <w:sz w:val="24"/>
          <w:lang w:val="en-US" w:eastAsia="zh-CN"/>
        </w:rPr>
      </w:pPr>
      <w:r>
        <w:rPr>
          <w:rFonts w:hint="eastAsia" w:ascii="Times New Roman" w:eastAsia="宋体"/>
          <w:sz w:val="24"/>
          <w:lang w:val="en-US" w:eastAsia="zh-CN"/>
        </w:rPr>
        <w:t>经常运行此程序，先造成系统数据库的臃肿，可以在此进行系统数据库的压缩。</w:t>
      </w:r>
    </w:p>
    <w:p w14:paraId="699E01A9">
      <w:pPr>
        <w:snapToGrid/>
        <w:spacing w:beforeAutospacing="0" w:afterAutospacing="0" w:line="288" w:lineRule="auto"/>
        <w:ind w:left="0" w:leftChars="0" w:right="0" w:rightChars="0" w:firstLine="482" w:firstLineChars="0"/>
        <w:jc w:val="both"/>
        <w:rPr>
          <w:rFonts w:hint="eastAsia" w:ascii="Times New Roman" w:eastAsia="宋体"/>
          <w:sz w:val="24"/>
          <w:lang w:val="en-US" w:eastAsia="zh-CN"/>
        </w:rPr>
      </w:pPr>
    </w:p>
    <w:p w14:paraId="0C1F5DFE"/>
    <w:p w14:paraId="7BF6F7D7">
      <w:r>
        <w:drawing>
          <wp:inline distT="0" distB="0" distL="114300" distR="114300">
            <wp:extent cx="5268595" cy="2516505"/>
            <wp:effectExtent l="0" t="0" r="4445" b="13335"/>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18"/>
                    <a:stretch>
                      <a:fillRect/>
                    </a:stretch>
                  </pic:blipFill>
                  <pic:spPr>
                    <a:xfrm>
                      <a:off x="0" y="0"/>
                      <a:ext cx="5268595" cy="2516505"/>
                    </a:xfrm>
                    <a:prstGeom prst="rect">
                      <a:avLst/>
                    </a:prstGeom>
                    <a:noFill/>
                    <a:ln>
                      <a:noFill/>
                    </a:ln>
                  </pic:spPr>
                </pic:pic>
              </a:graphicData>
            </a:graphic>
          </wp:inline>
        </w:drawing>
      </w:r>
    </w:p>
    <w:p w14:paraId="5264C95B"/>
    <w:p w14:paraId="40559CC0">
      <w:pPr>
        <w:keepNext w:val="0"/>
        <w:keepLines w:val="0"/>
        <w:pageBreakBefore w:val="0"/>
        <w:widowControl w:val="0"/>
        <w:kinsoku/>
        <w:wordWrap/>
        <w:overflowPunct/>
        <w:topLinePunct w:val="0"/>
        <w:autoSpaceDE/>
        <w:autoSpaceDN/>
        <w:bidi w:val="0"/>
        <w:adjustRightInd/>
        <w:snapToGrid/>
        <w:spacing w:before="220" w:beforeAutospacing="0" w:after="240" w:afterAutospacing="0" w:line="579" w:lineRule="auto"/>
        <w:ind w:left="0" w:leftChars="0" w:right="0" w:rightChars="0" w:firstLine="0" w:firstLineChars="0"/>
        <w:jc w:val="center"/>
        <w:textAlignment w:val="auto"/>
        <w:outlineLvl w:val="0"/>
        <w:rPr>
          <w:rFonts w:hint="eastAsia" w:ascii="Times New Roman" w:eastAsia="黑体"/>
          <w:b/>
          <w:color w:val="auto"/>
          <w:sz w:val="36"/>
          <w:lang w:val="en-US" w:eastAsia="zh-CN"/>
        </w:rPr>
      </w:pPr>
      <w:bookmarkStart w:id="18" w:name="_Toc14889"/>
      <w:r>
        <w:rPr>
          <w:rFonts w:hint="eastAsia" w:ascii="Times New Roman" w:eastAsia="黑体"/>
          <w:b/>
          <w:color w:val="auto"/>
          <w:sz w:val="36"/>
          <w:lang w:val="en-US" w:eastAsia="zh-CN"/>
        </w:rPr>
        <w:t>6 其他说明</w:t>
      </w:r>
      <w:bookmarkEnd w:id="18"/>
    </w:p>
    <w:p w14:paraId="78856F31">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eastAsia="宋体"/>
          <w:sz w:val="24"/>
          <w:lang w:val="en-US" w:eastAsia="zh-CN"/>
        </w:rPr>
      </w:pPr>
      <w:r>
        <w:rPr>
          <w:rFonts w:hint="eastAsia" w:ascii="Times New Roman" w:eastAsia="宋体"/>
          <w:sz w:val="24"/>
          <w:lang w:val="en-US" w:eastAsia="zh-CN"/>
        </w:rPr>
        <w:t>《福建省地方森林资源监测体系小班区划调查用表》或《福建省地方森林资源监测体系抽样调查用表》中福建一元材积方程存在杉、马、阔各区域的回归方程。桉树和木麻黄未分区域，也未列出方程，只列出表格，本系统完全将调查用表纳入软件，但存在胸径区域未满足的问题解决方案如下：</w:t>
      </w:r>
    </w:p>
    <w:p w14:paraId="3D55A553">
      <w:pPr>
        <w:keepNext w:val="0"/>
        <w:keepLines w:val="0"/>
        <w:pageBreakBefore w:val="0"/>
        <w:widowControl w:val="0"/>
        <w:numPr>
          <w:ilvl w:val="0"/>
          <w:numId w:val="1"/>
        </w:numPr>
        <w:kinsoku/>
        <w:wordWrap/>
        <w:overflowPunct/>
        <w:topLinePunct w:val="0"/>
        <w:autoSpaceDE/>
        <w:autoSpaceDN/>
        <w:bidi w:val="0"/>
        <w:adjustRightInd/>
        <w:snapToGrid/>
        <w:ind w:left="-60" w:leftChars="0" w:firstLine="480" w:firstLineChars="0"/>
        <w:textAlignment w:val="auto"/>
        <w:rPr>
          <w:rFonts w:hint="eastAsia" w:ascii="Times New Roman" w:eastAsia="宋体"/>
          <w:sz w:val="24"/>
          <w:lang w:val="en-US" w:eastAsia="zh-CN"/>
        </w:rPr>
      </w:pPr>
      <w:r>
        <w:rPr>
          <w:rFonts w:hint="eastAsia" w:ascii="Times New Roman" w:eastAsia="宋体"/>
          <w:sz w:val="24"/>
          <w:lang w:val="en-US" w:eastAsia="zh-CN"/>
        </w:rPr>
        <w:t>桉树胸径范围是2-40cm，没有40cm以上的材积表；</w:t>
      </w:r>
    </w:p>
    <w:p w14:paraId="2E4ECEAA">
      <w:pPr>
        <w:keepNext w:val="0"/>
        <w:keepLines w:val="0"/>
        <w:pageBreakBefore w:val="0"/>
        <w:widowControl w:val="0"/>
        <w:numPr>
          <w:ilvl w:val="0"/>
          <w:numId w:val="1"/>
        </w:numPr>
        <w:kinsoku/>
        <w:wordWrap/>
        <w:overflowPunct/>
        <w:topLinePunct w:val="0"/>
        <w:autoSpaceDE/>
        <w:autoSpaceDN/>
        <w:bidi w:val="0"/>
        <w:adjustRightInd/>
        <w:snapToGrid/>
        <w:ind w:left="-60" w:leftChars="0" w:firstLine="480" w:firstLineChars="0"/>
        <w:textAlignment w:val="auto"/>
        <w:rPr>
          <w:rFonts w:hint="default" w:ascii="Times New Roman" w:eastAsia="宋体"/>
          <w:sz w:val="24"/>
          <w:lang w:val="en-US" w:eastAsia="zh-CN"/>
        </w:rPr>
      </w:pPr>
      <w:r>
        <w:rPr>
          <w:rFonts w:hint="eastAsia" w:ascii="Times New Roman" w:eastAsia="宋体"/>
          <w:sz w:val="24"/>
          <w:lang w:val="en-US" w:eastAsia="zh-CN"/>
        </w:rPr>
        <w:t>木麻黄的胸径范围是5-30.9cm，没有2-5cm和31cm以上的材积表；</w:t>
      </w:r>
    </w:p>
    <w:p w14:paraId="3B0D7B74">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eastAsia="宋体"/>
          <w:sz w:val="24"/>
          <w:lang w:val="en-US" w:eastAsia="zh-CN"/>
        </w:rPr>
      </w:pPr>
      <w:r>
        <w:rPr>
          <w:rFonts w:hint="eastAsia" w:ascii="Times New Roman" w:eastAsia="宋体"/>
          <w:sz w:val="24"/>
          <w:lang w:val="en-US" w:eastAsia="zh-CN"/>
        </w:rPr>
        <w:t>为解决此问题，将调查用表的数据进行拟合，桉树拟合方程较好的为理查德方程和多项式方程，木麻黄拟合较好的为</w:t>
      </w:r>
      <w:bookmarkStart w:id="19" w:name="_GoBack"/>
      <w:r>
        <w:rPr>
          <w:rFonts w:hint="eastAsia" w:ascii="Times New Roman" w:eastAsia="宋体"/>
          <w:sz w:val="24"/>
          <w:lang w:val="en-US" w:eastAsia="zh-CN"/>
        </w:rPr>
        <w:t>理查德方程和一元幂方程。因此本</w:t>
      </w:r>
      <w:bookmarkEnd w:id="19"/>
      <w:r>
        <w:rPr>
          <w:rFonts w:hint="eastAsia" w:ascii="Times New Roman" w:eastAsia="宋体"/>
          <w:sz w:val="24"/>
          <w:lang w:val="en-US" w:eastAsia="zh-CN"/>
        </w:rPr>
        <w:t>系统统一使用理查德方程作为表格胸径范围外的补充（即查不到表格值时），使用以下方程计算：</w:t>
      </w:r>
    </w:p>
    <w:p w14:paraId="1CAB98D0">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eastAsia="宋体"/>
          <w:sz w:val="24"/>
          <w:lang w:val="en-US" w:eastAsia="zh-CN"/>
        </w:rPr>
      </w:pPr>
      <w:r>
        <w:rPr>
          <w:rFonts w:hint="eastAsia" w:ascii="Times New Roman" w:eastAsia="宋体"/>
          <w:sz w:val="24"/>
          <w:lang w:val="en-US" w:eastAsia="zh-CN"/>
        </w:rPr>
        <w:t>桉树：</w:t>
      </w:r>
    </w:p>
    <w:p w14:paraId="78EFEB47">
      <w:pPr>
        <w:keepNext w:val="0"/>
        <w:keepLines w:val="0"/>
        <w:pageBreakBefore w:val="0"/>
        <w:widowControl w:val="0"/>
        <w:kinsoku/>
        <w:wordWrap/>
        <w:overflowPunct/>
        <w:topLinePunct w:val="0"/>
        <w:autoSpaceDE/>
        <w:autoSpaceDN/>
        <w:bidi w:val="0"/>
        <w:adjustRightInd/>
        <w:snapToGrid/>
        <w:ind w:firstLine="380" w:firstLineChars="200"/>
        <w:textAlignment w:val="auto"/>
        <w:rPr>
          <w:rFonts w:hint="eastAsia" w:ascii="新宋体" w:hAnsi="新宋体" w:eastAsia="新宋体"/>
          <w:color w:val="000000"/>
          <w:sz w:val="19"/>
          <w:szCs w:val="24"/>
          <w:highlight w:val="white"/>
        </w:rPr>
      </w:pPr>
      <w:r>
        <w:rPr>
          <w:rFonts w:hint="eastAsia" w:ascii="新宋体" w:hAnsi="新宋体" w:eastAsia="新宋体"/>
          <w:color w:val="000000"/>
          <w:sz w:val="19"/>
          <w:szCs w:val="24"/>
          <w:highlight w:val="white"/>
        </w:rPr>
        <w:t>V = 6.78537152266686 * (1 - Exp(-0.0210282280072522 * DBH)) ^ 2.8820517332549</w:t>
      </w:r>
    </w:p>
    <w:p w14:paraId="6A7BB23A">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eastAsia="宋体"/>
          <w:sz w:val="24"/>
          <w:lang w:val="en-US" w:eastAsia="zh-CN"/>
        </w:rPr>
      </w:pPr>
      <w:r>
        <w:rPr>
          <w:rFonts w:hint="eastAsia" w:ascii="Times New Roman" w:eastAsia="宋体"/>
          <w:sz w:val="24"/>
          <w:lang w:val="en-US" w:eastAsia="zh-CN"/>
        </w:rPr>
        <w:t>木麻黄：</w:t>
      </w:r>
    </w:p>
    <w:p w14:paraId="5EB37ED1">
      <w:pPr>
        <w:keepNext w:val="0"/>
        <w:keepLines w:val="0"/>
        <w:pageBreakBefore w:val="0"/>
        <w:widowControl w:val="0"/>
        <w:kinsoku/>
        <w:wordWrap/>
        <w:overflowPunct/>
        <w:topLinePunct w:val="0"/>
        <w:autoSpaceDE/>
        <w:autoSpaceDN/>
        <w:bidi w:val="0"/>
        <w:adjustRightInd/>
        <w:snapToGrid/>
        <w:ind w:firstLine="380" w:firstLineChars="200"/>
        <w:textAlignment w:val="auto"/>
        <w:rPr>
          <w:rFonts w:hint="default" w:ascii="新宋体" w:hAnsi="新宋体" w:eastAsia="新宋体"/>
          <w:color w:val="000000"/>
          <w:sz w:val="19"/>
          <w:szCs w:val="24"/>
          <w:highlight w:val="white"/>
          <w:lang w:val="en-US" w:eastAsia="zh-CN"/>
        </w:rPr>
      </w:pPr>
      <w:r>
        <w:rPr>
          <w:rFonts w:hint="eastAsia" w:ascii="新宋体" w:hAnsi="新宋体" w:eastAsia="新宋体"/>
          <w:color w:val="000000"/>
          <w:sz w:val="19"/>
          <w:szCs w:val="24"/>
          <w:highlight w:val="white"/>
        </w:rPr>
        <w:t>V = 4125.00375372745 * (1 - Exp(-0.00100002997133035 * DBH)) ^ 2.45399473986538</w:t>
      </w:r>
    </w:p>
    <w:p w14:paraId="45E7312E">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eastAsia="宋体"/>
          <w:sz w:val="24"/>
          <w:lang w:val="en-US" w:eastAsia="zh-CN"/>
        </w:rPr>
      </w:pPr>
      <w:r>
        <w:rPr>
          <w:rFonts w:hint="eastAsia" w:ascii="Times New Roman" w:eastAsia="宋体"/>
          <w:sz w:val="24"/>
          <w:lang w:val="en-US" w:eastAsia="zh-CN"/>
        </w:rPr>
        <w:t>其中V为木材材积，DBH为胸径。</w:t>
      </w:r>
    </w:p>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新宋体">
    <w:panose1 w:val="02010609030101010101"/>
    <w:charset w:val="86"/>
    <w:family w:val="auto"/>
    <w:pitch w:val="default"/>
    <w:sig w:usb0="000002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8025F1">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BC83FD">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fDwk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t8PCTICAABjBAAADgAAAAAAAAABACAAAAAfAQAAZHJzL2Uyb0RvYy54bWxQSwUG&#10;AAAAAAYABgBZAQAAwwUAAAAA&#10;">
              <v:fill on="f" focussize="0,0"/>
              <v:stroke on="f" weight="0.5pt"/>
              <v:imagedata o:title=""/>
              <o:lock v:ext="edit" aspectratio="f"/>
              <v:textbox inset="0mm,0mm,0mm,0mm" style="mso-fit-shape-to-text:t;">
                <w:txbxContent>
                  <w:p w14:paraId="6ABC83FD">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A54898"/>
    <w:multiLevelType w:val="singleLevel"/>
    <w:tmpl w:val="9FA54898"/>
    <w:lvl w:ilvl="0" w:tentative="0">
      <w:start w:val="1"/>
      <w:numFmt w:val="decimal"/>
      <w:suff w:val="nothing"/>
      <w:lvlText w:val="%1）"/>
      <w:lvlJc w:val="left"/>
      <w:pPr>
        <w:ind w:left="-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Y5NTJkNTRkMDdkNWM2ODM1NDFhNTZjODA0ODUxZTYifQ=="/>
  </w:docVars>
  <w:rsids>
    <w:rsidRoot w:val="00172A27"/>
    <w:rsid w:val="012D0479"/>
    <w:rsid w:val="06F70B76"/>
    <w:rsid w:val="088A5C0C"/>
    <w:rsid w:val="0A1827EB"/>
    <w:rsid w:val="0BD318A5"/>
    <w:rsid w:val="16176D49"/>
    <w:rsid w:val="1A771FC3"/>
    <w:rsid w:val="1ACE63D1"/>
    <w:rsid w:val="1B040045"/>
    <w:rsid w:val="1F2B5BA0"/>
    <w:rsid w:val="20FC0A62"/>
    <w:rsid w:val="25253091"/>
    <w:rsid w:val="26FE2DB5"/>
    <w:rsid w:val="27D8569E"/>
    <w:rsid w:val="2C2C541F"/>
    <w:rsid w:val="391B4A7F"/>
    <w:rsid w:val="395C0121"/>
    <w:rsid w:val="39D36F1B"/>
    <w:rsid w:val="414F7CFF"/>
    <w:rsid w:val="44827761"/>
    <w:rsid w:val="499A699C"/>
    <w:rsid w:val="519A049A"/>
    <w:rsid w:val="52D5024B"/>
    <w:rsid w:val="570A71F5"/>
    <w:rsid w:val="58453668"/>
    <w:rsid w:val="58DA5965"/>
    <w:rsid w:val="5DB524FD"/>
    <w:rsid w:val="6AB622B2"/>
    <w:rsid w:val="6C884442"/>
    <w:rsid w:val="6FFB309C"/>
    <w:rsid w:val="76E445E8"/>
    <w:rsid w:val="7CD808E6"/>
    <w:rsid w:val="7FDD79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8">
    <w:name w:val="Default Paragraph Font"/>
    <w:autoRedefine/>
    <w:semiHidden/>
    <w:qFormat/>
    <w:uiPriority w:val="0"/>
  </w:style>
  <w:style w:type="table" w:default="1" w:styleId="6">
    <w:name w:val="Normal Table"/>
    <w:autoRedefin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4">
    <w:name w:val="toc 1"/>
    <w:basedOn w:val="1"/>
    <w:next w:val="1"/>
    <w:qFormat/>
    <w:uiPriority w:val="0"/>
  </w:style>
  <w:style w:type="paragraph" w:styleId="5">
    <w:name w:val="toc 2"/>
    <w:basedOn w:val="1"/>
    <w:next w:val="1"/>
    <w:qFormat/>
    <w:uiPriority w:val="0"/>
    <w:pPr>
      <w:ind w:left="420" w:leftChars="200"/>
    </w:pPr>
  </w:style>
  <w:style w:type="table" w:styleId="7">
    <w:name w:val="Table Grid"/>
    <w:basedOn w:val="6"/>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9">
    <w:name w:val="WPSOffice手动目录 1"/>
    <w:qFormat/>
    <w:uiPriority w:val="0"/>
    <w:pPr>
      <w:ind w:leftChars="0"/>
    </w:pPr>
    <w:rPr>
      <w:rFonts w:ascii="Times New Roman" w:hAnsi="Times New Roman" w:eastAsia="宋体" w:cs="Times New Roman"/>
      <w:sz w:val="20"/>
      <w:szCs w:val="20"/>
    </w:rPr>
  </w:style>
  <w:style w:type="paragraph" w:customStyle="1" w:styleId="10">
    <w:name w:val="WPSOffice手动目录 2"/>
    <w:qFormat/>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3164</Words>
  <Characters>3550</Characters>
  <Lines>0</Lines>
  <Paragraphs>0</Paragraphs>
  <TotalTime>31</TotalTime>
  <ScaleCrop>false</ScaleCrop>
  <LinksUpToDate>false</LinksUpToDate>
  <CharactersWithSpaces>3682</CharactersWithSpaces>
  <Application>WPS Office_12.1.0.22215_F1E327BC-269C-435d-A152-05C5408002CA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2024-01-10T01:35:00Z</dcterms:created>
  <dc:creator>Administrator</dc:creator>
  <cp:lastModifiedBy>罗增炎</cp:lastModifiedBy>
  <dcterms:modified xsi:type="dcterms:W3CDTF">2025-07-29T16:02:02Z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2052-12.1.0.22215</vt:lpwstr>
  </property>
  <property fmtid="{D5CDD505-2E9C-101B-9397-08002B2CF9AE}" pid="3" name="ICV">
    <vt:lpwstr>785DB37F42EA4ED6BD77A76CA976BF05_12</vt:lpwstr>
  </property>
  <property fmtid="{D5CDD505-2E9C-101B-9397-08002B2CF9AE}" pid="4" name="KSOTemplateDocerSaveRecord">
    <vt:lpwstr>eyJoZGlkIjoiYmY5NTJkNTRkMDdkNWM2ODM1NDFhNTZjODA0ODUxZTYiLCJ1c2VySWQiOiIzMzk3NjMzMDEifQ==</vt:lpwstr>
  </property>
</Properties>
</file>