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4</w:t>
      </w:r>
      <w:r>
        <w:rPr>
          <w:rFonts w:hint="eastAsia" w:ascii="方正小标宋简体" w:hAnsi="方正小标宋简体" w:eastAsia="方正小标宋简体" w:cs="方正小标宋简体"/>
          <w:sz w:val="40"/>
          <w:szCs w:val="40"/>
        </w:rPr>
        <w:t>年度省级财政林业</w:t>
      </w:r>
      <w:r>
        <w:rPr>
          <w:rFonts w:hint="eastAsia" w:ascii="方正小标宋简体" w:hAnsi="方正小标宋简体" w:eastAsia="方正小标宋简体" w:cs="方正小标宋简体"/>
          <w:sz w:val="40"/>
          <w:szCs w:val="40"/>
          <w:lang w:eastAsia="zh-CN"/>
        </w:rPr>
        <w:t>生态保护</w:t>
      </w:r>
      <w:r>
        <w:rPr>
          <w:rFonts w:hint="eastAsia" w:ascii="方正小标宋简体" w:hAnsi="方正小标宋简体" w:eastAsia="方正小标宋简体" w:cs="方正小标宋简体"/>
          <w:sz w:val="40"/>
          <w:szCs w:val="40"/>
        </w:rPr>
        <w:t>专项资金绩效</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自评报告</w:t>
      </w:r>
    </w:p>
    <w:p>
      <w:pPr>
        <w:ind w:firstLine="640" w:firstLineChars="200"/>
        <w:jc w:val="center"/>
        <w:rPr>
          <w:rFonts w:ascii="黑体" w:hAnsi="黑体" w:eastAsia="黑体" w:cs="仿宋_GB2312"/>
          <w:sz w:val="32"/>
          <w:szCs w:val="32"/>
        </w:rPr>
      </w:pP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(一)项目概况。</w:t>
      </w:r>
      <w:bookmarkStart w:id="0" w:name="OLE_LINK5"/>
      <w:r>
        <w:rPr>
          <w:rFonts w:hint="eastAsia" w:ascii="仿宋_GB2312" w:hAnsi="仿宋_GB2312" w:eastAsia="仿宋_GB2312" w:cs="仿宋_GB2312"/>
          <w:sz w:val="32"/>
          <w:szCs w:val="32"/>
        </w:rPr>
        <w:t>根据</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提前下达</w:t>
      </w:r>
      <w:r>
        <w:rPr>
          <w:rFonts w:hint="eastAsia" w:ascii="仿宋_GB2312" w:hAnsi="仿宋_GB2312" w:eastAsia="仿宋_GB2312" w:cs="仿宋_GB2312"/>
          <w:color w:val="000000"/>
          <w:spacing w:val="6"/>
          <w:sz w:val="32"/>
          <w:szCs w:val="32"/>
          <w:lang w:val="en-US" w:eastAsia="zh-CN" w:bidi="zh-TW"/>
        </w:rPr>
        <w:t>2024年省级财政林业专项资金的通知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3</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45</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和</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林业局关于提前下达2024年省级财政林业专项资金（第二批）的通知》</w:t>
      </w:r>
      <w:bookmarkStart w:id="1" w:name="OLE_LINK1"/>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指〔2023〕</w:t>
      </w:r>
      <w:r>
        <w:rPr>
          <w:rFonts w:hint="eastAsia" w:ascii="仿宋_GB2312" w:hAnsi="仿宋_GB2312" w:eastAsia="仿宋_GB2312" w:cs="仿宋_GB2312"/>
          <w:color w:val="000000"/>
          <w:spacing w:val="6"/>
          <w:sz w:val="32"/>
          <w:szCs w:val="32"/>
          <w:lang w:val="en-US" w:eastAsia="zh-CN" w:bidi="zh-TW"/>
        </w:rPr>
        <w:t>49</w:t>
      </w:r>
      <w:r>
        <w:rPr>
          <w:rFonts w:hint="eastAsia" w:ascii="仿宋_GB2312" w:hAnsi="仿宋_GB2312" w:eastAsia="仿宋_GB2312" w:cs="仿宋_GB2312"/>
          <w:color w:val="000000"/>
          <w:spacing w:val="6"/>
          <w:sz w:val="32"/>
          <w:szCs w:val="32"/>
          <w:lang w:bidi="zh-TW"/>
        </w:rPr>
        <w:t>号）</w:t>
      </w:r>
      <w:bookmarkEnd w:id="1"/>
      <w:bookmarkStart w:id="2" w:name="OLE_LINK2"/>
      <w:r>
        <w:rPr>
          <w:rFonts w:hint="eastAsia" w:ascii="仿宋_GB2312" w:hAnsi="仿宋_GB2312" w:eastAsia="仿宋_GB2312" w:cs="仿宋_GB2312"/>
          <w:color w:val="000000"/>
          <w:spacing w:val="6"/>
          <w:sz w:val="32"/>
          <w:szCs w:val="32"/>
          <w:lang w:eastAsia="zh-CN" w:bidi="zh-TW"/>
        </w:rPr>
        <w:t>、</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下达</w:t>
      </w:r>
      <w:r>
        <w:rPr>
          <w:rFonts w:hint="eastAsia" w:ascii="仿宋_GB2312" w:hAnsi="仿宋_GB2312" w:eastAsia="仿宋_GB2312" w:cs="仿宋_GB2312"/>
          <w:color w:val="000000"/>
          <w:spacing w:val="6"/>
          <w:sz w:val="32"/>
          <w:szCs w:val="32"/>
          <w:lang w:val="en-US" w:eastAsia="zh-CN" w:bidi="zh-TW"/>
        </w:rPr>
        <w:t>2024年省级财政林业专项资金（第三批）的通知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4</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15</w:t>
      </w:r>
      <w:r>
        <w:rPr>
          <w:rFonts w:hint="eastAsia" w:ascii="仿宋_GB2312" w:hAnsi="仿宋_GB2312" w:eastAsia="仿宋_GB2312" w:cs="仿宋_GB2312"/>
          <w:color w:val="000000"/>
          <w:spacing w:val="6"/>
          <w:sz w:val="32"/>
          <w:szCs w:val="32"/>
          <w:lang w:bidi="zh-TW"/>
        </w:rPr>
        <w:t>号）</w:t>
      </w:r>
      <w:bookmarkEnd w:id="2"/>
      <w:r>
        <w:rPr>
          <w:rFonts w:hint="eastAsia" w:ascii="仿宋_GB2312" w:hAnsi="仿宋_GB2312" w:eastAsia="仿宋_GB2312" w:cs="仿宋_GB2312"/>
          <w:color w:val="000000"/>
          <w:spacing w:val="6"/>
          <w:sz w:val="32"/>
          <w:szCs w:val="32"/>
          <w:lang w:eastAsia="zh-CN" w:bidi="zh-TW"/>
        </w:rPr>
        <w:t>及</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下达</w:t>
      </w:r>
      <w:r>
        <w:rPr>
          <w:rFonts w:hint="eastAsia" w:ascii="仿宋_GB2312" w:hAnsi="仿宋_GB2312" w:eastAsia="仿宋_GB2312" w:cs="仿宋_GB2312"/>
          <w:color w:val="000000"/>
          <w:spacing w:val="6"/>
          <w:sz w:val="32"/>
          <w:szCs w:val="32"/>
          <w:lang w:val="en-US" w:eastAsia="zh-CN" w:bidi="zh-TW"/>
        </w:rPr>
        <w:t>2024年省级财政林业专项资金（市县部分第五批）的通知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4</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31</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文件通知</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年省级财政林业专项资金安排林业生态保护</w:t>
      </w:r>
      <w:r>
        <w:rPr>
          <w:rFonts w:hint="eastAsia" w:ascii="仿宋_GB2312" w:hAnsi="仿宋_GB2312" w:eastAsia="仿宋_GB2312" w:cs="仿宋_GB2312"/>
          <w:sz w:val="32"/>
          <w:szCs w:val="32"/>
          <w:lang w:eastAsia="zh-CN"/>
        </w:rPr>
        <w:t>补助资金</w:t>
      </w:r>
      <w:r>
        <w:rPr>
          <w:rFonts w:hint="eastAsia" w:ascii="仿宋_GB2312" w:hAnsi="仿宋_GB2312" w:eastAsia="仿宋_GB2312" w:cs="仿宋_GB2312"/>
          <w:sz w:val="32"/>
          <w:szCs w:val="32"/>
          <w:lang w:val="en-US" w:eastAsia="zh-CN"/>
        </w:rPr>
        <w:t>2356.8万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w:t>
      </w:r>
      <w:bookmarkStart w:id="3" w:name="OLE_LINK8"/>
      <w:r>
        <w:rPr>
          <w:rFonts w:hint="eastAsia" w:ascii="仿宋_GB2312" w:hAnsi="仿宋_GB2312" w:eastAsia="仿宋_GB2312" w:cs="仿宋_GB2312"/>
          <w:sz w:val="32"/>
          <w:szCs w:val="32"/>
          <w:lang w:val="en-US" w:eastAsia="zh-CN"/>
        </w:rPr>
        <w:t>生态定位监测站维护数量2个、新建服务能力建设林业站个数5个、建设森林步道长度6公里、实施湿地保护修复个数1个、具备执法条件和相对规范的行政执法机关数量2个、开展自然保护地能力建设数量2个、自然保护地开展调查监测及智慧化建设的数量1个、自然保护地（含世界地质公园）开展宣教设施改造提升的数量1个、防治性采伐面积5.1万亩、图斑监测数据汇总数量7个、完成重点生态区位商品林赎买等改革面积0.75万亩、新建或改建防火队伍数量3个、生态修复面积15公顷等。</w:t>
      </w:r>
      <w:bookmarkEnd w:id="3"/>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(二)项目绩效目标。</w:t>
      </w:r>
    </w:p>
    <w:p>
      <w:pPr>
        <w:ind w:firstLine="643"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总体目标</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计划完成图斑监测数据汇总7个；完成省级财政林业站服务能力建设5个；完成防治性采伐5.1万亩，林业有害生物无公害防治率大于85%。</w:t>
      </w:r>
    </w:p>
    <w:p>
      <w:pPr>
        <w:numPr>
          <w:ilvl w:val="0"/>
          <w:numId w:val="1"/>
        </w:num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绩效评价工作开展情况</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(一)绩效评价目的、对象和范围。</w:t>
      </w:r>
    </w:p>
    <w:p>
      <w:pPr>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省级财政林业</w:t>
      </w:r>
      <w:r>
        <w:rPr>
          <w:rFonts w:hint="eastAsia" w:ascii="仿宋_GB2312" w:hAnsi="仿宋_GB2312" w:eastAsia="仿宋_GB2312" w:cs="仿宋_GB2312"/>
          <w:sz w:val="32"/>
          <w:szCs w:val="32"/>
        </w:rPr>
        <w:t>专项资金使用绩效，</w:t>
      </w:r>
      <w:r>
        <w:rPr>
          <w:rFonts w:hint="eastAsia" w:ascii="仿宋_GB2312" w:hAnsi="仿宋_GB2312" w:eastAsia="仿宋_GB2312" w:cs="仿宋_GB2312"/>
          <w:kern w:val="0"/>
          <w:sz w:val="32"/>
          <w:szCs w:val="32"/>
        </w:rPr>
        <w:t>客观、公正评价</w:t>
      </w:r>
      <w:r>
        <w:rPr>
          <w:rFonts w:hint="eastAsia" w:ascii="仿宋_GB2312" w:hAnsi="仿宋_GB2312" w:eastAsia="仿宋_GB2312" w:cs="仿宋_GB2312"/>
          <w:kern w:val="0"/>
          <w:sz w:val="32"/>
          <w:szCs w:val="32"/>
          <w:lang w:eastAsia="zh-CN"/>
        </w:rPr>
        <w:t>龙岩市</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林业生态保护专项资金的</w:t>
      </w:r>
      <w:r>
        <w:rPr>
          <w:rFonts w:hint="eastAsia" w:ascii="仿宋_GB2312" w:hAnsi="仿宋_GB2312" w:eastAsia="仿宋_GB2312" w:cs="仿宋_GB2312"/>
          <w:kern w:val="0"/>
          <w:sz w:val="32"/>
          <w:szCs w:val="32"/>
        </w:rPr>
        <w:t>实绩与成效，并为</w:t>
      </w:r>
      <w:r>
        <w:rPr>
          <w:rFonts w:hint="eastAsia" w:ascii="仿宋_GB2312" w:hAnsi="仿宋_GB2312" w:eastAsia="仿宋_GB2312" w:cs="仿宋_GB2312"/>
          <w:sz w:val="32"/>
          <w:szCs w:val="32"/>
        </w:rPr>
        <w:t>兑现和管理</w:t>
      </w:r>
      <w:r>
        <w:rPr>
          <w:rFonts w:hint="eastAsia" w:ascii="仿宋_GB2312" w:hAnsi="仿宋_GB2312" w:eastAsia="仿宋_GB2312" w:cs="仿宋_GB2312"/>
          <w:kern w:val="0"/>
          <w:sz w:val="32"/>
          <w:szCs w:val="32"/>
          <w:lang w:eastAsia="zh-CN"/>
        </w:rPr>
        <w:t>林业生态保护专项</w:t>
      </w:r>
      <w:r>
        <w:rPr>
          <w:rFonts w:hint="eastAsia" w:ascii="仿宋_GB2312" w:hAnsi="仿宋_GB2312" w:eastAsia="仿宋_GB2312" w:cs="仿宋_GB2312"/>
          <w:sz w:val="32"/>
          <w:szCs w:val="32"/>
        </w:rPr>
        <w:t>资金、建立资源档案等提供基础数据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评价结果作为改进预算管理、编制以后年度部门预算、安排财政资金的重要依据。</w:t>
      </w:r>
      <w:r>
        <w:rPr>
          <w:rFonts w:hint="eastAsia" w:ascii="仿宋_GB2312" w:hAnsi="仿宋_GB2312" w:eastAsia="仿宋_GB2312" w:cs="仿宋_GB2312"/>
          <w:sz w:val="32"/>
          <w:szCs w:val="32"/>
          <w:lang w:eastAsia="zh-CN"/>
        </w:rPr>
        <w:t>评价范围为龙岩市</w:t>
      </w:r>
      <w:r>
        <w:rPr>
          <w:rFonts w:hint="eastAsia" w:ascii="仿宋_GB2312" w:hAnsi="仿宋_GB2312" w:eastAsia="仿宋_GB2312" w:cs="仿宋_GB2312"/>
          <w:sz w:val="32"/>
          <w:szCs w:val="32"/>
          <w:lang w:val="en-US" w:eastAsia="zh-CN"/>
        </w:rPr>
        <w:t>2024年度林业生态保护专项资金</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sz w:val="32"/>
          <w:szCs w:val="32"/>
        </w:rPr>
        <w:t>通过对我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生态保护</w:t>
      </w:r>
      <w:r>
        <w:rPr>
          <w:rFonts w:hint="eastAsia" w:ascii="仿宋_GB2312" w:hAnsi="仿宋_GB2312" w:eastAsia="仿宋_GB2312" w:cs="仿宋_GB2312"/>
          <w:sz w:val="32"/>
          <w:szCs w:val="32"/>
        </w:rPr>
        <w:t>项目开展绩效评价，确保绩效目标实现，促进财政资金使用效率的提高。</w:t>
      </w:r>
    </w:p>
    <w:p>
      <w:pPr>
        <w:ind w:firstLine="640" w:firstLineChars="200"/>
        <w:rPr>
          <w:rFonts w:hint="eastAsia" w:ascii="仿宋_GB2312" w:hAnsi="仿宋_GB2312" w:eastAsia="仿宋_GB2312" w:cs="仿宋_GB2312"/>
          <w:kern w:val="2"/>
          <w:sz w:val="30"/>
          <w:szCs w:val="30"/>
          <w:lang w:val="en-US" w:eastAsia="zh-CN" w:bidi="ar-SA"/>
        </w:rPr>
      </w:pPr>
      <w:bookmarkStart w:id="4" w:name="OLE_LINK9"/>
      <w:r>
        <w:rPr>
          <w:rFonts w:hint="eastAsia" w:ascii="黑体" w:hAnsi="黑体" w:eastAsia="黑体" w:cs="黑体"/>
          <w:kern w:val="2"/>
          <w:sz w:val="32"/>
          <w:szCs w:val="32"/>
          <w:lang w:val="en-US" w:eastAsia="zh-CN" w:bidi="ar-SA"/>
        </w:rPr>
        <w:t>（二）绩效评价原则、评价指标体系、评价方法、评价标准等。</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绩效评价原则：按照“政策目标明确、分配办法统一、支出方向协调、绩效结果导向”的原则分配、使用和管理。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评价指标体系：从财政资金安排和使用情况、年度总体目标完成情况、年度绩效目标完成情况3个</w:t>
      </w:r>
      <w:r>
        <w:rPr>
          <w:rFonts w:hint="eastAsia" w:ascii="仿宋_GB2312" w:hAnsi="仿宋_GB2312" w:eastAsia="仿宋_GB2312" w:cs="仿宋_GB2312"/>
          <w:bCs/>
          <w:color w:val="000000" w:themeColor="text1"/>
          <w:sz w:val="32"/>
          <w:szCs w:val="32"/>
          <w14:textFill>
            <w14:solidFill>
              <w14:schemeClr w14:val="tx1"/>
            </w14:solidFill>
          </w14:textFill>
        </w:rPr>
        <w:t>方面，设定三级指标。</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5" w:name="OLE_LINK10"/>
      <w:r>
        <w:rPr>
          <w:rFonts w:hint="eastAsia" w:ascii="仿宋_GB2312" w:hAnsi="仿宋_GB2312" w:eastAsia="仿宋_GB2312" w:cs="仿宋_GB2312"/>
          <w:color w:val="000000" w:themeColor="text1"/>
          <w:sz w:val="32"/>
          <w:szCs w:val="32"/>
          <w14:textFill>
            <w14:solidFill>
              <w14:schemeClr w14:val="tx1"/>
            </w14:solidFill>
          </w14:textFill>
        </w:rPr>
        <w:t>评价方法：采取因素法分配。</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评价标准：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按照上级资金文件下达绩效目标表执行。</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绩效评价等级一般划分为四档：90分（含）—100分为优，80分（含）—90分为良，60分（含）—80分为中，60分以下为差。</w:t>
      </w:r>
      <w:bookmarkEnd w:id="4"/>
      <w:bookmarkEnd w:id="5"/>
      <w:bookmarkStart w:id="15" w:name="_GoBack"/>
      <w:bookmarkEnd w:id="15"/>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)绩效评价工作过程</w:t>
      </w:r>
      <w:r>
        <w:rPr>
          <w:rFonts w:hint="eastAsia" w:ascii="仿宋_GB2312" w:hAnsi="仿宋_GB2312" w:eastAsia="仿宋_GB2312" w:cs="仿宋_GB2312"/>
          <w:b/>
          <w:bCs/>
          <w:sz w:val="32"/>
          <w:szCs w:val="32"/>
          <w:lang w:eastAsia="zh-CN"/>
        </w:rPr>
        <w:t>。</w:t>
      </w:r>
      <w:bookmarkStart w:id="6" w:name="OLE_LINK11"/>
      <w:r>
        <w:rPr>
          <w:rFonts w:hint="eastAsia" w:ascii="仿宋_GB2312" w:hAnsi="仿宋_GB2312" w:eastAsia="仿宋_GB2312" w:cs="仿宋_GB2312"/>
          <w:kern w:val="2"/>
          <w:sz w:val="32"/>
          <w:szCs w:val="32"/>
        </w:rPr>
        <w:t>依据上级林业主管部门有关绩效评价工作文件精神，</w:t>
      </w:r>
      <w:r>
        <w:rPr>
          <w:rFonts w:hint="eastAsia" w:ascii="仿宋_GB2312" w:hAnsi="仿宋_GB2312" w:eastAsia="仿宋_GB2312" w:cs="仿宋_GB2312"/>
          <w:kern w:val="2"/>
          <w:sz w:val="32"/>
          <w:szCs w:val="32"/>
          <w:lang w:eastAsia="zh-CN"/>
        </w:rPr>
        <w:t>各县（市、区）林业主管部门</w:t>
      </w:r>
      <w:r>
        <w:rPr>
          <w:rFonts w:hint="eastAsia" w:ascii="仿宋_GB2312" w:hAnsi="仿宋_GB2312" w:eastAsia="仿宋_GB2312" w:cs="仿宋_GB2312"/>
          <w:kern w:val="2"/>
          <w:sz w:val="32"/>
          <w:szCs w:val="32"/>
        </w:rPr>
        <w:t>在收集</w:t>
      </w:r>
      <w:r>
        <w:rPr>
          <w:rFonts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rPr>
        <w:t>4年</w:t>
      </w:r>
      <w:r>
        <w:rPr>
          <w:rFonts w:hint="eastAsia" w:ascii="仿宋_GB2312" w:hAnsi="仿宋_GB2312" w:eastAsia="仿宋_GB2312" w:cs="仿宋_GB2312"/>
          <w:kern w:val="2"/>
          <w:sz w:val="32"/>
          <w:szCs w:val="32"/>
          <w:lang w:eastAsia="zh-CN"/>
        </w:rPr>
        <w:t>林业生态保护资金</w:t>
      </w:r>
      <w:r>
        <w:rPr>
          <w:rFonts w:hint="eastAsia" w:ascii="仿宋_GB2312" w:hAnsi="仿宋_GB2312" w:eastAsia="仿宋_GB2312" w:cs="仿宋_GB2312"/>
          <w:kern w:val="2"/>
          <w:sz w:val="32"/>
          <w:szCs w:val="32"/>
        </w:rPr>
        <w:t>有关文件资料、检查验收资料、会计资料等基础上，进行逐项评价，得出</w:t>
      </w:r>
      <w:r>
        <w:rPr>
          <w:rFonts w:hint="eastAsia" w:ascii="仿宋_GB2312" w:hAnsi="仿宋_GB2312" w:eastAsia="仿宋_GB2312" w:cs="仿宋_GB2312"/>
          <w:kern w:val="2"/>
          <w:sz w:val="32"/>
          <w:szCs w:val="32"/>
          <w:lang w:eastAsia="zh-CN"/>
        </w:rPr>
        <w:t>自评</w:t>
      </w:r>
      <w:r>
        <w:rPr>
          <w:rFonts w:hint="eastAsia" w:ascii="仿宋_GB2312" w:hAnsi="仿宋_GB2312" w:eastAsia="仿宋_GB2312" w:cs="仿宋_GB2312"/>
          <w:kern w:val="2"/>
          <w:sz w:val="32"/>
          <w:szCs w:val="32"/>
        </w:rPr>
        <w:t>结果</w:t>
      </w:r>
      <w:r>
        <w:rPr>
          <w:rFonts w:hint="eastAsia" w:ascii="仿宋_GB2312" w:hAnsi="仿宋_GB2312" w:eastAsia="仿宋_GB2312" w:cs="仿宋_GB2312"/>
          <w:kern w:val="2"/>
          <w:sz w:val="32"/>
          <w:szCs w:val="32"/>
          <w:lang w:eastAsia="zh-CN"/>
        </w:rPr>
        <w:t>；市林业局根据各县（市、区）和市局直属单位上报情况，</w:t>
      </w:r>
      <w:r>
        <w:rPr>
          <w:rFonts w:hint="eastAsia" w:ascii="仿宋_GB2312" w:hAnsi="仿宋_GB2312" w:eastAsia="仿宋_GB2312" w:cs="仿宋_GB2312"/>
          <w:kern w:val="2"/>
          <w:sz w:val="32"/>
          <w:szCs w:val="32"/>
          <w:lang w:val="en-US" w:eastAsia="zh-CN"/>
        </w:rPr>
        <w:t>相关业务科室</w:t>
      </w:r>
      <w:r>
        <w:rPr>
          <w:rFonts w:hint="eastAsia" w:ascii="仿宋_GB2312" w:hAnsi="仿宋_GB2312" w:eastAsia="仿宋_GB2312" w:cs="仿宋_GB2312"/>
          <w:kern w:val="2"/>
          <w:sz w:val="32"/>
          <w:szCs w:val="32"/>
          <w:lang w:eastAsia="zh-CN"/>
        </w:rPr>
        <w:t>进行逐项核实和汇总，</w:t>
      </w:r>
      <w:r>
        <w:rPr>
          <w:rFonts w:hint="eastAsia" w:ascii="仿宋_GB2312" w:hAnsi="仿宋_GB2312" w:eastAsia="仿宋_GB2312" w:cs="仿宋_GB2312"/>
          <w:bCs/>
          <w:color w:val="000000" w:themeColor="text1"/>
          <w:sz w:val="32"/>
          <w:szCs w:val="32"/>
          <w14:textFill>
            <w14:solidFill>
              <w14:schemeClr w14:val="tx1"/>
            </w14:solidFill>
          </w14:textFill>
        </w:rPr>
        <w:t>对绩效目标值完成情况和实现程度进行打分评价，查找存在问题并提出改进建议</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kern w:val="2"/>
          <w:sz w:val="32"/>
          <w:szCs w:val="32"/>
          <w:lang w:eastAsia="zh-CN"/>
        </w:rPr>
        <w:t>形成市级专项自评报告。</w:t>
      </w:r>
    </w:p>
    <w:bookmarkEnd w:id="6"/>
    <w:p>
      <w:pPr>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、绩效</w:t>
      </w:r>
      <w:r>
        <w:rPr>
          <w:rFonts w:hint="eastAsia" w:ascii="仿宋_GB2312" w:hAnsi="仿宋_GB2312" w:eastAsia="仿宋_GB2312" w:cs="仿宋_GB2312"/>
          <w:b/>
          <w:bCs/>
          <w:sz w:val="32"/>
          <w:szCs w:val="32"/>
          <w:lang w:eastAsia="zh-CN"/>
        </w:rPr>
        <w:t>自评</w:t>
      </w:r>
      <w:r>
        <w:rPr>
          <w:rFonts w:hint="eastAsia" w:ascii="仿宋_GB2312" w:hAnsi="仿宋_GB2312" w:eastAsia="仿宋_GB2312" w:cs="仿宋_GB2312"/>
          <w:b/>
          <w:bCs/>
          <w:sz w:val="32"/>
          <w:szCs w:val="32"/>
        </w:rPr>
        <w:t>指标</w:t>
      </w:r>
      <w:r>
        <w:rPr>
          <w:rFonts w:hint="eastAsia" w:ascii="仿宋_GB2312" w:hAnsi="仿宋_GB2312" w:eastAsia="仿宋_GB2312" w:cs="仿宋_GB2312"/>
          <w:b/>
          <w:bCs/>
          <w:sz w:val="32"/>
          <w:szCs w:val="32"/>
          <w:lang w:eastAsia="zh-CN"/>
        </w:rPr>
        <w:t>完成情况</w:t>
      </w:r>
      <w:r>
        <w:rPr>
          <w:rFonts w:hint="eastAsia" w:ascii="仿宋_GB2312" w:hAnsi="仿宋_GB2312" w:eastAsia="仿宋_GB2312" w:cs="仿宋_GB2312"/>
          <w:b/>
          <w:bCs/>
          <w:sz w:val="32"/>
          <w:szCs w:val="32"/>
        </w:rPr>
        <w:t>分析</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(一)项目决策情况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提前下达</w:t>
      </w:r>
      <w:r>
        <w:rPr>
          <w:rFonts w:hint="eastAsia" w:ascii="仿宋_GB2312" w:hAnsi="仿宋_GB2312" w:eastAsia="仿宋_GB2312" w:cs="仿宋_GB2312"/>
          <w:color w:val="000000"/>
          <w:spacing w:val="6"/>
          <w:sz w:val="32"/>
          <w:szCs w:val="32"/>
          <w:lang w:val="en-US" w:eastAsia="zh-CN" w:bidi="zh-TW"/>
        </w:rPr>
        <w:t>2024年省级财政林业专项资金的通知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3</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45</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和</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林业局关于提前下达2024年省级财政林业专项资金（第二批）的通知》（</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指〔2023〕</w:t>
      </w:r>
      <w:r>
        <w:rPr>
          <w:rFonts w:hint="eastAsia" w:ascii="仿宋_GB2312" w:hAnsi="仿宋_GB2312" w:eastAsia="仿宋_GB2312" w:cs="仿宋_GB2312"/>
          <w:color w:val="000000"/>
          <w:spacing w:val="6"/>
          <w:sz w:val="32"/>
          <w:szCs w:val="32"/>
          <w:lang w:val="en-US" w:eastAsia="zh-CN" w:bidi="zh-TW"/>
        </w:rPr>
        <w:t>49</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下达</w:t>
      </w:r>
      <w:r>
        <w:rPr>
          <w:rFonts w:hint="eastAsia" w:ascii="仿宋_GB2312" w:hAnsi="仿宋_GB2312" w:eastAsia="仿宋_GB2312" w:cs="仿宋_GB2312"/>
          <w:color w:val="000000"/>
          <w:spacing w:val="6"/>
          <w:sz w:val="32"/>
          <w:szCs w:val="32"/>
          <w:lang w:val="en-US" w:eastAsia="zh-CN" w:bidi="zh-TW"/>
        </w:rPr>
        <w:t>2024年省级财政林业专项资金（第三批）的通知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4</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15</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及</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下达</w:t>
      </w:r>
      <w:r>
        <w:rPr>
          <w:rFonts w:hint="eastAsia" w:ascii="仿宋_GB2312" w:hAnsi="仿宋_GB2312" w:eastAsia="仿宋_GB2312" w:cs="仿宋_GB2312"/>
          <w:color w:val="000000"/>
          <w:spacing w:val="6"/>
          <w:sz w:val="32"/>
          <w:szCs w:val="32"/>
          <w:lang w:val="en-US" w:eastAsia="zh-CN" w:bidi="zh-TW"/>
        </w:rPr>
        <w:t>2024年省级财政林业专项资金（市县部分第五批）的通知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4</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31</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文件通知</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pacing w:val="6"/>
          <w:sz w:val="32"/>
          <w:szCs w:val="32"/>
        </w:rPr>
        <w:t>决定实施本项目。</w:t>
      </w:r>
    </w:p>
    <w:p>
      <w:pPr>
        <w:spacing w:after="0" w:line="580" w:lineRule="exact"/>
        <w:ind w:firstLine="643" w:firstLineChars="200"/>
        <w:rPr>
          <w:rFonts w:hint="eastAsia" w:ascii="仿宋_GB2312" w:hAnsi="仿宋_GB2312" w:eastAsia="仿宋_GB2312" w:cs="仿宋_GB2312"/>
          <w:color w:val="0033CC"/>
          <w:sz w:val="32"/>
          <w:szCs w:val="32"/>
        </w:rPr>
      </w:pPr>
      <w:r>
        <w:rPr>
          <w:rFonts w:hint="eastAsia" w:ascii="仿宋_GB2312" w:hAnsi="仿宋_GB2312" w:eastAsia="仿宋_GB2312" w:cs="仿宋_GB2312"/>
          <w:b/>
          <w:bCs/>
          <w:sz w:val="32"/>
          <w:szCs w:val="32"/>
        </w:rPr>
        <w:t>(二)项目过程</w:t>
      </w:r>
      <w:r>
        <w:rPr>
          <w:rFonts w:hint="eastAsia" w:ascii="仿宋_GB2312" w:hAnsi="仿宋_GB2312" w:eastAsia="仿宋_GB2312" w:cs="仿宋_GB2312"/>
          <w:b/>
          <w:bCs/>
          <w:sz w:val="32"/>
          <w:szCs w:val="32"/>
          <w:lang w:eastAsia="zh-CN"/>
        </w:rPr>
        <w:t>：</w:t>
      </w:r>
      <w:bookmarkStart w:id="7" w:name="OLE_LINK3"/>
      <w:bookmarkStart w:id="8" w:name="OLE_LINK4"/>
      <w:r>
        <w:rPr>
          <w:rFonts w:hint="eastAsia" w:ascii="仿宋_GB2312" w:eastAsia="仿宋_GB2312"/>
          <w:color w:val="000000"/>
          <w:sz w:val="32"/>
          <w:szCs w:val="32"/>
        </w:rPr>
        <w:t>接到上级下达的</w:t>
      </w:r>
      <w:r>
        <w:rPr>
          <w:rFonts w:hint="eastAsia" w:ascii="仿宋_GB2312" w:eastAsia="仿宋_GB2312"/>
          <w:color w:val="000000"/>
          <w:sz w:val="32"/>
          <w:szCs w:val="32"/>
          <w:lang w:eastAsia="zh-CN"/>
        </w:rPr>
        <w:t>林业生态保护</w:t>
      </w:r>
      <w:r>
        <w:rPr>
          <w:rFonts w:hint="eastAsia" w:ascii="仿宋_GB2312" w:eastAsia="仿宋_GB2312"/>
          <w:color w:val="000000"/>
          <w:sz w:val="32"/>
          <w:szCs w:val="32"/>
        </w:rPr>
        <w:t>任务后，</w:t>
      </w:r>
      <w:r>
        <w:rPr>
          <w:rFonts w:hint="eastAsia" w:ascii="仿宋_GB2312" w:eastAsia="仿宋_GB2312"/>
          <w:sz w:val="32"/>
          <w:szCs w:val="32"/>
          <w:lang w:eastAsia="zh-CN"/>
        </w:rPr>
        <w:t>市林业局相关业务科室根据我市各县林业具体情况提出资金计划分配方案</w:t>
      </w:r>
      <w:r>
        <w:rPr>
          <w:rFonts w:hint="eastAsia" w:ascii="仿宋_GB2312" w:eastAsia="仿宋_GB2312"/>
          <w:sz w:val="32"/>
          <w:szCs w:val="32"/>
        </w:rPr>
        <w:t>，</w:t>
      </w:r>
      <w:r>
        <w:rPr>
          <w:rFonts w:hint="eastAsia" w:ascii="仿宋_GB2312" w:eastAsia="仿宋_GB2312"/>
          <w:sz w:val="32"/>
          <w:szCs w:val="32"/>
          <w:lang w:eastAsia="zh-CN"/>
        </w:rPr>
        <w:t>提请局党组研究决定。最终联合市财政局以文件的形式</w:t>
      </w:r>
      <w:r>
        <w:rPr>
          <w:rFonts w:hint="eastAsia" w:ascii="仿宋_GB2312" w:eastAsia="仿宋_GB2312"/>
          <w:sz w:val="32"/>
          <w:szCs w:val="32"/>
        </w:rPr>
        <w:t>将</w:t>
      </w:r>
      <w:r>
        <w:rPr>
          <w:rFonts w:hint="eastAsia" w:ascii="仿宋_GB2312" w:eastAsia="仿宋_GB2312"/>
          <w:sz w:val="32"/>
          <w:szCs w:val="32"/>
          <w:lang w:eastAsia="zh-CN"/>
        </w:rPr>
        <w:t>林业生态保护</w:t>
      </w:r>
      <w:r>
        <w:rPr>
          <w:rFonts w:hint="eastAsia" w:ascii="仿宋_GB2312" w:eastAsia="仿宋_GB2312"/>
          <w:sz w:val="32"/>
          <w:szCs w:val="32"/>
        </w:rPr>
        <w:t>任务分解下达到</w:t>
      </w:r>
      <w:r>
        <w:rPr>
          <w:rFonts w:hint="eastAsia" w:ascii="仿宋_GB2312" w:eastAsia="仿宋_GB2312"/>
          <w:sz w:val="32"/>
          <w:szCs w:val="32"/>
          <w:lang w:eastAsia="zh-CN"/>
        </w:rPr>
        <w:t>各县（市、区）林业主管部门和市局直属单位，由各单位落实实施</w:t>
      </w:r>
      <w:r>
        <w:rPr>
          <w:rFonts w:hint="eastAsia" w:ascii="仿宋_GB2312" w:eastAsia="仿宋_GB2312"/>
          <w:sz w:val="32"/>
          <w:szCs w:val="32"/>
        </w:rPr>
        <w:t>。</w:t>
      </w:r>
    </w:p>
    <w:bookmarkEnd w:id="7"/>
    <w:bookmarkEnd w:id="8"/>
    <w:p>
      <w:pPr>
        <w:spacing w:line="600" w:lineRule="exact"/>
        <w:ind w:firstLine="645"/>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项目产出情况。</w:t>
      </w:r>
    </w:p>
    <w:p>
      <w:pPr>
        <w:spacing w:line="600" w:lineRule="exact"/>
        <w:ind w:firstLine="645"/>
        <w:rPr>
          <w:rFonts w:hint="eastAsia" w:ascii="仿宋_GB2312" w:hAnsi="仿宋_GB2312" w:eastAsia="仿宋_GB2312" w:cs="仿宋_GB2312"/>
          <w:kern w:val="2"/>
          <w:sz w:val="32"/>
          <w:szCs w:val="32"/>
          <w:lang w:val="en-US" w:eastAsia="zh-CN"/>
        </w:rPr>
      </w:pPr>
      <w:bookmarkStart w:id="9" w:name="OLE_LINK17"/>
      <w:r>
        <w:rPr>
          <w:rFonts w:hint="eastAsia" w:ascii="仿宋_GB2312" w:hAnsi="仿宋_GB2312" w:eastAsia="仿宋_GB2312" w:cs="仿宋_GB2312"/>
          <w:kern w:val="2"/>
          <w:sz w:val="32"/>
          <w:szCs w:val="32"/>
          <w:lang w:val="en-US" w:eastAsia="zh-CN"/>
        </w:rPr>
        <w:t>成本指标：</w:t>
      </w:r>
      <w:bookmarkStart w:id="10" w:name="OLE_LINK7"/>
      <w:r>
        <w:rPr>
          <w:rFonts w:hint="eastAsia" w:ascii="仿宋_GB2312" w:hAnsi="仿宋_GB2312" w:eastAsia="仿宋_GB2312" w:cs="仿宋_GB2312"/>
          <w:kern w:val="2"/>
          <w:sz w:val="32"/>
          <w:szCs w:val="32"/>
          <w:lang w:val="en-US" w:eastAsia="zh-CN"/>
        </w:rPr>
        <w:t>森林步道新建每公里补助标准</w:t>
      </w:r>
      <w:bookmarkStart w:id="11" w:name="OLE_LINK6"/>
      <w:r>
        <w:rPr>
          <w:rFonts w:hint="eastAsia" w:ascii="仿宋_GB2312" w:hAnsi="仿宋_GB2312" w:eastAsia="仿宋_GB2312" w:cs="仿宋_GB2312"/>
          <w:kern w:val="2"/>
          <w:sz w:val="32"/>
          <w:szCs w:val="32"/>
          <w:lang w:val="en-US" w:eastAsia="zh-CN"/>
        </w:rPr>
        <w:t>≤15万元/个</w:t>
      </w:r>
      <w:bookmarkEnd w:id="11"/>
      <w:r>
        <w:rPr>
          <w:rFonts w:hint="eastAsia" w:ascii="仿宋_GB2312" w:hAnsi="仿宋_GB2312" w:eastAsia="仿宋_GB2312" w:cs="仿宋_GB2312"/>
          <w:kern w:val="2"/>
          <w:sz w:val="32"/>
          <w:szCs w:val="32"/>
          <w:lang w:val="en-US" w:eastAsia="zh-CN"/>
        </w:rPr>
        <w:t>，自然保护地调查监测及智慧化建设补助标准≤50万元/个</w:t>
      </w:r>
      <w:bookmarkEnd w:id="10"/>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b/>
          <w:bCs/>
          <w:kern w:val="2"/>
          <w:sz w:val="32"/>
          <w:szCs w:val="32"/>
          <w:lang w:val="en-US" w:eastAsia="zh-CN"/>
        </w:rPr>
        <w:t>完成值：</w:t>
      </w:r>
      <w:r>
        <w:rPr>
          <w:rFonts w:hint="eastAsia" w:ascii="仿宋_GB2312" w:hAnsi="仿宋_GB2312" w:eastAsia="仿宋_GB2312" w:cs="仿宋_GB2312"/>
          <w:kern w:val="2"/>
          <w:sz w:val="32"/>
          <w:szCs w:val="32"/>
          <w:lang w:val="en-US" w:eastAsia="zh-CN"/>
        </w:rPr>
        <w:t>森林步道新建每公里补助标准15万元/个，自然保护地调查监测及智慧化建设补助标准50万元/个。</w:t>
      </w:r>
    </w:p>
    <w:p>
      <w:pPr>
        <w:spacing w:line="600" w:lineRule="exact"/>
        <w:ind w:firstLine="645"/>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数量指标：</w:t>
      </w:r>
      <w:r>
        <w:rPr>
          <w:rFonts w:hint="eastAsia" w:ascii="仿宋_GB2312" w:hAnsi="仿宋_GB2312" w:eastAsia="仿宋_GB2312" w:cs="仿宋_GB2312"/>
          <w:sz w:val="32"/>
          <w:szCs w:val="32"/>
          <w:lang w:val="en-US" w:eastAsia="zh-CN"/>
        </w:rPr>
        <w:t>生态定位监测站维护数量2个、新建服务能力建设林业站个数5个、建设森林步道长度6公里、实施湿地保护修复个数1个、具备执法条件和相对规范的行政执法机关数量2个、开展自然保护地能力建设数量2个、自然保护地开展调查监测及智慧化建设的数量1个、自然保护地（含世界地质公园）开展宣教设施改造提升的数量1个、防治性采伐面积5.1万亩、图斑监测数据汇总数量7个、完成重点生态区位商品林赎买等改革面积0.75万亩、新建或改建防火队伍数量3个、生态修复面积15公顷等</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b/>
          <w:bCs/>
          <w:kern w:val="2"/>
          <w:sz w:val="32"/>
          <w:szCs w:val="32"/>
          <w:lang w:val="en-US" w:eastAsia="zh-CN"/>
        </w:rPr>
        <w:t>完成值：</w:t>
      </w:r>
      <w:r>
        <w:rPr>
          <w:rFonts w:hint="eastAsia" w:ascii="仿宋_GB2312" w:hAnsi="仿宋_GB2312" w:eastAsia="仿宋_GB2312" w:cs="仿宋_GB2312"/>
          <w:sz w:val="32"/>
          <w:szCs w:val="32"/>
          <w:lang w:val="en-US" w:eastAsia="zh-CN"/>
        </w:rPr>
        <w:t>生态定位监测站维护数量2个、新建服务能力建设林业站个数5个、建设森林步道长度6公里、实施湿地保护修复个数1个、具备执法条件和相对规范的行政执法机关数量2个、开展自然保护地能力建设数量2个、自然保护地开展调查监测及智慧化建设的数量1个、自然保护地（含世界地质公园）开展宣教设施改造提升的数量1个、防治性采伐面积5.1万亩、图斑监测数据汇总数量7个、完成重点生态区位商品林赎买等改革面积0.75万亩、新建或改建防火队伍数量3个、生态修复面积15公顷等。</w:t>
      </w:r>
    </w:p>
    <w:p>
      <w:pPr>
        <w:spacing w:line="600" w:lineRule="exact"/>
        <w:ind w:firstLine="645"/>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质量指标：</w:t>
      </w:r>
      <w:bookmarkStart w:id="12" w:name="OLE_LINK12"/>
      <w:r>
        <w:rPr>
          <w:rFonts w:hint="eastAsia" w:ascii="仿宋_GB2312" w:hAnsi="仿宋_GB2312" w:eastAsia="仿宋_GB2312" w:cs="仿宋_GB2312"/>
          <w:color w:val="000000"/>
          <w:spacing w:val="6"/>
          <w:sz w:val="32"/>
          <w:szCs w:val="32"/>
          <w:lang w:val="en-US" w:eastAsia="zh-CN" w:bidi="zh-TW"/>
        </w:rPr>
        <w:t>项目建设合格率90%，全省无公害防治率85%</w:t>
      </w:r>
      <w:bookmarkEnd w:id="12"/>
      <w:r>
        <w:rPr>
          <w:rFonts w:hint="eastAsia" w:ascii="仿宋_GB2312" w:hAnsi="仿宋_GB2312" w:eastAsia="仿宋_GB2312" w:cs="仿宋_GB2312"/>
          <w:color w:val="000000"/>
          <w:spacing w:val="6"/>
          <w:sz w:val="32"/>
          <w:szCs w:val="32"/>
          <w:lang w:val="en-US" w:eastAsia="zh-CN" w:bidi="zh-TW"/>
        </w:rPr>
        <w:t>。</w:t>
      </w:r>
      <w:r>
        <w:rPr>
          <w:rFonts w:hint="eastAsia" w:ascii="仿宋_GB2312" w:hAnsi="仿宋_GB2312" w:eastAsia="仿宋_GB2312" w:cs="仿宋_GB2312"/>
          <w:b/>
          <w:bCs/>
          <w:color w:val="000000"/>
          <w:spacing w:val="6"/>
          <w:sz w:val="32"/>
          <w:szCs w:val="32"/>
          <w:lang w:val="en-US" w:eastAsia="zh-CN" w:bidi="zh-TW"/>
        </w:rPr>
        <w:t>完成值：</w:t>
      </w:r>
      <w:r>
        <w:rPr>
          <w:rFonts w:hint="eastAsia" w:ascii="仿宋_GB2312" w:hAnsi="仿宋_GB2312" w:eastAsia="仿宋_GB2312" w:cs="仿宋_GB2312"/>
          <w:color w:val="000000"/>
          <w:spacing w:val="6"/>
          <w:sz w:val="32"/>
          <w:szCs w:val="32"/>
          <w:lang w:val="en-US" w:eastAsia="zh-CN" w:bidi="zh-TW"/>
        </w:rPr>
        <w:t>项目建设合格率90%，全省无公害防治率100%。</w:t>
      </w:r>
    </w:p>
    <w:p>
      <w:pPr>
        <w:spacing w:line="600" w:lineRule="exact"/>
        <w:ind w:firstLine="645"/>
        <w:rPr>
          <w:rFonts w:hint="default"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时效指标：</w:t>
      </w:r>
      <w:bookmarkStart w:id="13" w:name="OLE_LINK13"/>
      <w:r>
        <w:rPr>
          <w:rFonts w:hint="eastAsia" w:ascii="仿宋_GB2312" w:hAnsi="仿宋_GB2312" w:eastAsia="仿宋_GB2312" w:cs="仿宋_GB2312"/>
          <w:color w:val="000000"/>
          <w:spacing w:val="6"/>
          <w:sz w:val="32"/>
          <w:szCs w:val="32"/>
          <w:lang w:val="en-US" w:eastAsia="zh-CN" w:bidi="zh-TW"/>
        </w:rPr>
        <w:t>项目任务完成率90%，松材线虫病疫情监测普查100，死亡松树清理95%</w:t>
      </w:r>
      <w:bookmarkEnd w:id="13"/>
      <w:r>
        <w:rPr>
          <w:rFonts w:hint="eastAsia" w:ascii="仿宋_GB2312" w:hAnsi="仿宋_GB2312" w:eastAsia="仿宋_GB2312" w:cs="仿宋_GB2312"/>
          <w:color w:val="000000"/>
          <w:spacing w:val="6"/>
          <w:sz w:val="32"/>
          <w:szCs w:val="32"/>
          <w:lang w:val="en-US" w:eastAsia="zh-CN" w:bidi="zh-TW"/>
        </w:rPr>
        <w:t>。完成值：项目任务完成率90%，松材线虫病疫情监测普查100，死亡松树清理100%。</w:t>
      </w:r>
    </w:p>
    <w:p>
      <w:pPr>
        <w:spacing w:line="600" w:lineRule="exact"/>
        <w:ind w:firstLine="645"/>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效益指标：</w:t>
      </w:r>
      <w:bookmarkStart w:id="14" w:name="OLE_LINK14"/>
      <w:r>
        <w:rPr>
          <w:rFonts w:hint="eastAsia" w:ascii="仿宋_GB2312" w:hAnsi="仿宋_GB2312" w:eastAsia="仿宋_GB2312" w:cs="仿宋_GB2312"/>
          <w:color w:val="000000"/>
          <w:spacing w:val="6"/>
          <w:sz w:val="32"/>
          <w:szCs w:val="32"/>
          <w:lang w:val="en-US" w:eastAsia="zh-CN" w:bidi="zh-TW"/>
        </w:rPr>
        <w:t>重点生态区商品林赎买林农收入增加900元，涉林事项办理到户20户，自然保护地宣教中心（自然教育场所）对外开放比例95%，林业基层治理体系和治理能力现代化水平100%，涉林重大案件发生数与上一年度同比降幅0.5%，森林火灾受害率小于0.08%，全省林业有害生物成灾率小于0.21%。</w:t>
      </w:r>
      <w:bookmarkEnd w:id="14"/>
      <w:r>
        <w:rPr>
          <w:rFonts w:hint="eastAsia" w:ascii="仿宋_GB2312" w:hAnsi="仿宋_GB2312" w:eastAsia="仿宋_GB2312" w:cs="仿宋_GB2312"/>
          <w:color w:val="000000"/>
          <w:spacing w:val="6"/>
          <w:sz w:val="32"/>
          <w:szCs w:val="32"/>
          <w:lang w:val="en-US" w:eastAsia="zh-CN" w:bidi="zh-TW"/>
        </w:rPr>
        <w:t>完成值：重点生态区商品林赎买林农收入增加900元，涉林事项办理到户20户，自然保护地宣教中心（自然教育场所）对外开放比例100%，林业基层治理体系和治理能力现代化水平100%，涉林重大案件发生数与上一年度同比降幅1%，森林火灾受害率0，全省林业有害生物成灾率0.07%。</w:t>
      </w:r>
    </w:p>
    <w:p>
      <w:pPr>
        <w:spacing w:after="0" w:line="580" w:lineRule="exact"/>
        <w:ind w:firstLine="664" w:firstLineChars="200"/>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满意度指标：林农满意度（%）90。完成值：林农满意度90%。</w:t>
      </w:r>
    </w:p>
    <w:bookmarkEnd w:id="9"/>
    <w:p>
      <w:pPr>
        <w:ind w:left="0" w:leftChars="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、综合评价情况及评价结论(附相关评分表)</w:t>
      </w:r>
    </w:p>
    <w:p>
      <w:pPr>
        <w:pStyle w:val="2"/>
        <w:spacing w:after="0" w:line="580" w:lineRule="exact"/>
        <w:ind w:firstLine="664" w:firstLineChars="200"/>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本项目采用成本、产出、效益、满意度等4个一级指标，经济成本指标、数量、质量、时效、效益、满意度等6个二级指标，森林步道新建每公里补助标准等36个三级指标进行评价。经评价，自评综合得分94.78分，自评等次“优”。</w:t>
      </w:r>
    </w:p>
    <w:p>
      <w:pPr>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五、主要经验及做法、存在的问题及原因分析</w:t>
      </w:r>
    </w:p>
    <w:p>
      <w:pPr>
        <w:pStyle w:val="2"/>
        <w:spacing w:after="0" w:line="580" w:lineRule="exact"/>
        <w:ind w:firstLine="664" w:firstLineChars="200"/>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主要经验及做法：对古树进行复壮抢救，是延缓树势衰老速度、提高树体生理机能、发挥其应有作用的重要技术措施和必要手段。但古树日常养护管理更重要，要加强古树平时养护管理，才能有效的保护古树正常生长。</w:t>
      </w:r>
    </w:p>
    <w:p>
      <w:pPr>
        <w:pStyle w:val="2"/>
        <w:spacing w:after="0" w:line="580" w:lineRule="exact"/>
        <w:ind w:firstLine="664" w:firstLineChars="200"/>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存在的问题及原因：资源档案数据有待完善。有些小班还存在档案数据与现状不相符的现象，直接影响生产经营，同时资源建档工作还不够规范，建档人员业务水平有待进一步提高。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六、其他需要说明的问题</w:t>
      </w:r>
    </w:p>
    <w:p>
      <w:pPr>
        <w:pStyle w:val="4"/>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pStyle w:val="4"/>
        <w:rPr>
          <w:rFonts w:hint="eastAsia" w:ascii="仿宋_GB2312" w:hAnsi="仿宋_GB2312" w:eastAsia="仿宋_GB2312" w:cs="仿宋_GB2312"/>
          <w:sz w:val="32"/>
          <w:szCs w:val="32"/>
          <w:lang w:eastAsia="zh-CN"/>
        </w:rPr>
      </w:pPr>
    </w:p>
    <w:p>
      <w:pPr>
        <w:jc w:val="left"/>
        <w:rPr>
          <w:rFonts w:ascii="仿宋_GB2312" w:hAnsi="仿宋_GB2312" w:eastAsia="仿宋_GB2312" w:cs="仿宋_GB2312"/>
          <w:sz w:val="32"/>
          <w:szCs w:val="3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E0C7"/>
    <w:multiLevelType w:val="singleLevel"/>
    <w:tmpl w:val="0E22E0C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MzM2YjIzM2QzYWQwOGUxOTI0ZmQzNTBlNzhhOTAifQ=="/>
  </w:docVars>
  <w:rsids>
    <w:rsidRoot w:val="00216F4F"/>
    <w:rsid w:val="0003606F"/>
    <w:rsid w:val="00082041"/>
    <w:rsid w:val="0010559F"/>
    <w:rsid w:val="0011451C"/>
    <w:rsid w:val="001712E3"/>
    <w:rsid w:val="00174A7A"/>
    <w:rsid w:val="00186083"/>
    <w:rsid w:val="001C1DAF"/>
    <w:rsid w:val="002025D3"/>
    <w:rsid w:val="00216F4F"/>
    <w:rsid w:val="002257DC"/>
    <w:rsid w:val="00263854"/>
    <w:rsid w:val="002B6EA0"/>
    <w:rsid w:val="00310237"/>
    <w:rsid w:val="00310252"/>
    <w:rsid w:val="00351C0E"/>
    <w:rsid w:val="00425C5A"/>
    <w:rsid w:val="0045600D"/>
    <w:rsid w:val="004D04BA"/>
    <w:rsid w:val="004F7505"/>
    <w:rsid w:val="00543542"/>
    <w:rsid w:val="00576D7B"/>
    <w:rsid w:val="00593E82"/>
    <w:rsid w:val="005F2C2D"/>
    <w:rsid w:val="00615C82"/>
    <w:rsid w:val="006A3876"/>
    <w:rsid w:val="006D41FF"/>
    <w:rsid w:val="007C5C5F"/>
    <w:rsid w:val="00871020"/>
    <w:rsid w:val="0089216F"/>
    <w:rsid w:val="008D74C0"/>
    <w:rsid w:val="008E3C4B"/>
    <w:rsid w:val="00982355"/>
    <w:rsid w:val="00A553D4"/>
    <w:rsid w:val="00A6418C"/>
    <w:rsid w:val="00A70C7B"/>
    <w:rsid w:val="00A911A8"/>
    <w:rsid w:val="00AD2695"/>
    <w:rsid w:val="00B5117D"/>
    <w:rsid w:val="00C56438"/>
    <w:rsid w:val="00DB2A9C"/>
    <w:rsid w:val="00DD0F3A"/>
    <w:rsid w:val="00EB04EC"/>
    <w:rsid w:val="00F83A09"/>
    <w:rsid w:val="00F973B5"/>
    <w:rsid w:val="042C1B2C"/>
    <w:rsid w:val="079D1E83"/>
    <w:rsid w:val="09654B91"/>
    <w:rsid w:val="0AC830B8"/>
    <w:rsid w:val="0C9258AB"/>
    <w:rsid w:val="0D687620"/>
    <w:rsid w:val="0DF02E97"/>
    <w:rsid w:val="0E672CFA"/>
    <w:rsid w:val="0F5F2078"/>
    <w:rsid w:val="106B45D8"/>
    <w:rsid w:val="107D4156"/>
    <w:rsid w:val="10AC1252"/>
    <w:rsid w:val="1352573F"/>
    <w:rsid w:val="14352249"/>
    <w:rsid w:val="178B0605"/>
    <w:rsid w:val="18305F4E"/>
    <w:rsid w:val="1A0D6013"/>
    <w:rsid w:val="1A4A0AFA"/>
    <w:rsid w:val="1D842C96"/>
    <w:rsid w:val="1E7C04CA"/>
    <w:rsid w:val="1EB91FF6"/>
    <w:rsid w:val="1F5E52B1"/>
    <w:rsid w:val="2181587C"/>
    <w:rsid w:val="21B94BCB"/>
    <w:rsid w:val="233C2F07"/>
    <w:rsid w:val="23A73351"/>
    <w:rsid w:val="27932845"/>
    <w:rsid w:val="27D11497"/>
    <w:rsid w:val="30843A68"/>
    <w:rsid w:val="30EC5EE8"/>
    <w:rsid w:val="34F960AC"/>
    <w:rsid w:val="3B564152"/>
    <w:rsid w:val="3CF4062F"/>
    <w:rsid w:val="3D3A6E53"/>
    <w:rsid w:val="3EF80539"/>
    <w:rsid w:val="3F217877"/>
    <w:rsid w:val="3F5479E7"/>
    <w:rsid w:val="41553827"/>
    <w:rsid w:val="43216FC5"/>
    <w:rsid w:val="472853F1"/>
    <w:rsid w:val="4A765644"/>
    <w:rsid w:val="4ABC3110"/>
    <w:rsid w:val="4C794B15"/>
    <w:rsid w:val="509623D5"/>
    <w:rsid w:val="52BA2D4E"/>
    <w:rsid w:val="539D2637"/>
    <w:rsid w:val="53BD416B"/>
    <w:rsid w:val="568C693B"/>
    <w:rsid w:val="594D5BA7"/>
    <w:rsid w:val="618B0E5D"/>
    <w:rsid w:val="624919DA"/>
    <w:rsid w:val="64BE195E"/>
    <w:rsid w:val="64C45790"/>
    <w:rsid w:val="64C52E6A"/>
    <w:rsid w:val="64CC24AA"/>
    <w:rsid w:val="68393307"/>
    <w:rsid w:val="69E83787"/>
    <w:rsid w:val="6BAD579D"/>
    <w:rsid w:val="73B40C6C"/>
    <w:rsid w:val="7DEB0590"/>
    <w:rsid w:val="FE540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40" w:line="288" w:lineRule="auto"/>
    </w:pPr>
  </w:style>
  <w:style w:type="paragraph" w:styleId="3">
    <w:name w:val="Body Text First Indent"/>
    <w:basedOn w:val="2"/>
    <w:next w:val="2"/>
    <w:qFormat/>
    <w:uiPriority w:val="0"/>
    <w:pPr>
      <w:spacing w:after="120"/>
      <w:ind w:firstLine="420" w:firstLineChars="100"/>
    </w:pPr>
    <w:rPr>
      <w:rFonts w:eastAsia="仿宋_GB2312"/>
      <w:sz w:val="32"/>
    </w:rPr>
  </w:style>
  <w:style w:type="paragraph" w:styleId="4">
    <w:name w:val="Balloon Text"/>
    <w:basedOn w:val="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0"/>
    <w:rPr>
      <w:sz w:val="18"/>
      <w:szCs w:val="18"/>
    </w:rPr>
  </w:style>
  <w:style w:type="character" w:customStyle="1" w:styleId="10">
    <w:name w:val="页脚 Char"/>
    <w:basedOn w:val="7"/>
    <w:link w:val="5"/>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183</Words>
  <Characters>1044</Characters>
  <Lines>8</Lines>
  <Paragraphs>2</Paragraphs>
  <TotalTime>1</TotalTime>
  <ScaleCrop>false</ScaleCrop>
  <LinksUpToDate>false</LinksUpToDate>
  <CharactersWithSpaces>1225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2023-03-06T06:55:00Z</dcterms:created>
  <dc:creator>Apache POI</dc:creator>
  <cp:lastModifiedBy>Administrator</cp:lastModifiedBy>
  <dcterms:modified xsi:type="dcterms:W3CDTF">2025-04-14T09:08:26Z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4AE7687F5C054C49B2752ED0BBC99C04_13</vt:lpwstr>
  </property>
</Properties>
</file>